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EDB8D" w14:textId="77777777" w:rsidR="00B47EE5" w:rsidRPr="00B47EE5" w:rsidRDefault="00B47EE5" w:rsidP="007873FE">
      <w:pPr>
        <w:framePr w:w="2552" w:hSpace="181" w:wrap="notBeside" w:vAnchor="text" w:hAnchor="page" w:x="4710" w:y="-1963"/>
        <w:spacing w:after="0"/>
        <w:jc w:val="center"/>
        <w:rPr>
          <w:b/>
          <w:lang w:val="en-US"/>
        </w:rPr>
      </w:pPr>
      <w:bookmarkStart w:id="0" w:name="Abschrift"/>
    </w:p>
    <w:p w14:paraId="58C9A09E" w14:textId="77777777" w:rsidR="002E63E1" w:rsidRPr="005F38DE" w:rsidRDefault="002E63E1" w:rsidP="002E63E1">
      <w:pPr>
        <w:framePr w:w="4819" w:h="3016" w:hRule="exact" w:wrap="around" w:vAnchor="page" w:hAnchor="page" w:x="1441" w:y="2386"/>
        <w:spacing w:after="0"/>
      </w:pPr>
      <w:bookmarkStart w:id="1" w:name="DINAdressePosRahmen"/>
      <w:bookmarkEnd w:id="0"/>
    </w:p>
    <w:p w14:paraId="4A23A0F1" w14:textId="77777777" w:rsidR="002E63E1" w:rsidRPr="005F38DE" w:rsidRDefault="002E63E1" w:rsidP="002E63E1">
      <w:pPr>
        <w:framePr w:w="4819" w:h="3016" w:hRule="exact" w:wrap="around" w:vAnchor="page" w:hAnchor="page" w:x="1441" w:y="2386"/>
        <w:spacing w:after="0"/>
      </w:pPr>
    </w:p>
    <w:p w14:paraId="53E22BB2" w14:textId="77777777" w:rsidR="002E63E1" w:rsidRPr="005F38DE" w:rsidRDefault="002E63E1" w:rsidP="002E63E1">
      <w:pPr>
        <w:framePr w:w="4819" w:h="3016" w:hRule="exact" w:wrap="around" w:vAnchor="page" w:hAnchor="page" w:x="1441" w:y="2386"/>
        <w:spacing w:after="0"/>
      </w:pPr>
    </w:p>
    <w:p w14:paraId="26B325F4" w14:textId="77777777" w:rsidR="002E63E1" w:rsidRPr="005F38DE" w:rsidRDefault="002E63E1" w:rsidP="002E63E1">
      <w:pPr>
        <w:framePr w:w="4819" w:h="3016" w:hRule="exact" w:wrap="around" w:vAnchor="page" w:hAnchor="page" w:x="1441" w:y="2386"/>
        <w:spacing w:after="0"/>
      </w:pPr>
      <w:r w:rsidRPr="005F38DE">
        <w:t>Bundesverfassungsgericht</w:t>
      </w:r>
    </w:p>
    <w:p w14:paraId="41C3D6C2" w14:textId="77777777" w:rsidR="002E63E1" w:rsidRPr="005F38DE" w:rsidRDefault="002E63E1" w:rsidP="002E63E1">
      <w:pPr>
        <w:framePr w:w="4819" w:h="3016" w:hRule="exact" w:wrap="around" w:vAnchor="page" w:hAnchor="page" w:x="1441" w:y="2386"/>
        <w:spacing w:after="0"/>
      </w:pPr>
      <w:r w:rsidRPr="005F38DE">
        <w:t>Schlossbezirk 3</w:t>
      </w:r>
    </w:p>
    <w:p w14:paraId="1112B782" w14:textId="77777777" w:rsidR="002E63E1" w:rsidRPr="005F38DE" w:rsidRDefault="002E63E1" w:rsidP="002E63E1">
      <w:pPr>
        <w:framePr w:w="4819" w:h="3016" w:hRule="exact" w:wrap="around" w:vAnchor="page" w:hAnchor="page" w:x="1441" w:y="2386"/>
        <w:spacing w:after="0"/>
      </w:pPr>
      <w:r w:rsidRPr="005F38DE">
        <w:t>76131 Karlsruhe</w:t>
      </w:r>
    </w:p>
    <w:bookmarkEnd w:id="1"/>
    <w:p w14:paraId="1616A057" w14:textId="51DC2065" w:rsidR="00D065EC" w:rsidRPr="002E63E1" w:rsidRDefault="00AA2129" w:rsidP="006E57CB">
      <w:pPr>
        <w:spacing w:after="0"/>
      </w:pPr>
      <w:r>
        <w:rPr>
          <w:noProof/>
        </w:rPr>
        <mc:AlternateContent>
          <mc:Choice Requires="wps">
            <w:drawing>
              <wp:anchor distT="0" distB="0" distL="114300" distR="114300" simplePos="0" relativeHeight="251660288" behindDoc="0" locked="0" layoutInCell="1" allowOverlap="1" wp14:anchorId="39EEB214" wp14:editId="2526857F">
                <wp:simplePos x="0" y="0"/>
                <wp:positionH relativeFrom="column">
                  <wp:posOffset>911860</wp:posOffset>
                </wp:positionH>
                <wp:positionV relativeFrom="paragraph">
                  <wp:posOffset>143510</wp:posOffset>
                </wp:positionV>
                <wp:extent cx="2442845" cy="2487930"/>
                <wp:effectExtent l="9525" t="7620" r="5080" b="9525"/>
                <wp:wrapNone/>
                <wp:docPr id="84305380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845" cy="2487930"/>
                        </a:xfrm>
                        <a:prstGeom prst="rect">
                          <a:avLst/>
                        </a:prstGeom>
                        <a:solidFill>
                          <a:srgbClr val="FFFFFF"/>
                        </a:solidFill>
                        <a:ln w="9525">
                          <a:solidFill>
                            <a:schemeClr val="bg1">
                              <a:lumMod val="100000"/>
                              <a:lumOff val="0"/>
                            </a:schemeClr>
                          </a:solidFill>
                          <a:miter lim="800000"/>
                          <a:headEnd/>
                          <a:tailEnd/>
                        </a:ln>
                      </wps:spPr>
                      <wps:txbx>
                        <w:txbxContent>
                          <w:p w14:paraId="0DB76890" w14:textId="77777777" w:rsidR="00744AFC" w:rsidRPr="003610F9" w:rsidRDefault="00744AFC" w:rsidP="00C0566B">
                            <w:pPr>
                              <w:spacing w:after="0" w:line="276" w:lineRule="auto"/>
                              <w:rPr>
                                <w:rFonts w:ascii="Copperplate32bc" w:hAnsi="Copperplate32bc"/>
                                <w:sz w:val="28"/>
                                <w:szCs w:val="28"/>
                              </w:rPr>
                            </w:pPr>
                            <w:r w:rsidRPr="003610F9">
                              <w:rPr>
                                <w:rFonts w:ascii="Copperplate32bc" w:hAnsi="Copperplate32bc"/>
                                <w:sz w:val="28"/>
                                <w:szCs w:val="28"/>
                              </w:rPr>
                              <w:t>Christoph J. Partsch</w:t>
                            </w:r>
                          </w:p>
                          <w:p w14:paraId="503324B1" w14:textId="77777777" w:rsidR="00744AFC" w:rsidRPr="00554AE0" w:rsidRDefault="00C0566B" w:rsidP="00C0566B">
                            <w:pPr>
                              <w:spacing w:after="0" w:line="276" w:lineRule="auto"/>
                              <w:rPr>
                                <w:rFonts w:ascii="Copperplate32bc" w:hAnsi="Copperplate32bc"/>
                              </w:rPr>
                            </w:pPr>
                            <w:r>
                              <w:rPr>
                                <w:rFonts w:ascii="Copperplate32bc" w:hAnsi="Copperplate32bc"/>
                              </w:rPr>
                              <w:t xml:space="preserve">LL.M. </w:t>
                            </w:r>
                            <w:r w:rsidR="00744AFC">
                              <w:rPr>
                                <w:rFonts w:ascii="Copperplate32bc" w:hAnsi="Copperplate32bc"/>
                              </w:rPr>
                              <w:t>(</w:t>
                            </w:r>
                            <w:r>
                              <w:rPr>
                                <w:rFonts w:ascii="Copperplate32bc" w:hAnsi="Copperplate32bc"/>
                              </w:rPr>
                              <w:t>D</w:t>
                            </w:r>
                            <w:r w:rsidR="00744AFC">
                              <w:rPr>
                                <w:rFonts w:ascii="Copperplate32bc" w:hAnsi="Copperplate32bc"/>
                              </w:rPr>
                              <w:t xml:space="preserve">uke), </w:t>
                            </w:r>
                            <w:r w:rsidR="00B13816">
                              <w:rPr>
                                <w:rFonts w:ascii="Copperplate32bc" w:hAnsi="Copperplate32bc"/>
                              </w:rPr>
                              <w:t>Dr.</w:t>
                            </w:r>
                            <w:r w:rsidR="00744AFC">
                              <w:rPr>
                                <w:rFonts w:ascii="Copperplate32bc" w:hAnsi="Copperplate32bc"/>
                              </w:rPr>
                              <w:t xml:space="preserve"> jur.</w:t>
                            </w:r>
                          </w:p>
                          <w:p w14:paraId="551385F9" w14:textId="77777777" w:rsidR="00744AFC" w:rsidRPr="00823B22" w:rsidRDefault="00744AFC" w:rsidP="00C0566B">
                            <w:pPr>
                              <w:spacing w:after="0" w:line="276" w:lineRule="auto"/>
                              <w:rPr>
                                <w:rFonts w:ascii="Copperplate32bc" w:hAnsi="Copperplate32bc"/>
                                <w:sz w:val="16"/>
                                <w:szCs w:val="16"/>
                              </w:rPr>
                            </w:pPr>
                            <w:r w:rsidRPr="00554AE0">
                              <w:rPr>
                                <w:rFonts w:ascii="Copperplate32bc" w:hAnsi="Copperplate32bc"/>
                              </w:rPr>
                              <w:t>Rechtsanwalt</w:t>
                            </w:r>
                            <w:r>
                              <w:rPr>
                                <w:rFonts w:ascii="Copperplate32bc" w:hAnsi="Copperplate32bc"/>
                              </w:rPr>
                              <w:t xml:space="preserve"> </w:t>
                            </w:r>
                            <w:r>
                              <w:rPr>
                                <w:rFonts w:ascii="Copperplate32bc" w:hAnsi="Copperplate32bc"/>
                                <w:sz w:val="16"/>
                                <w:szCs w:val="16"/>
                              </w:rPr>
                              <w:t>(Partner)</w:t>
                            </w:r>
                          </w:p>
                          <w:p w14:paraId="69077BF8" w14:textId="77777777" w:rsidR="00744AFC" w:rsidRPr="00554AE0" w:rsidRDefault="00744AFC" w:rsidP="00C0566B">
                            <w:pPr>
                              <w:spacing w:after="0" w:line="276" w:lineRule="auto"/>
                              <w:rPr>
                                <w:rFonts w:ascii="Copperplate32bc" w:hAnsi="Copperplate32bc"/>
                              </w:rPr>
                            </w:pPr>
                          </w:p>
                          <w:p w14:paraId="5F2BC31E" w14:textId="77777777" w:rsidR="00744AFC" w:rsidRPr="003610F9" w:rsidRDefault="00744AFC" w:rsidP="00C0566B">
                            <w:pPr>
                              <w:spacing w:after="0" w:line="276" w:lineRule="auto"/>
                              <w:rPr>
                                <w:rFonts w:ascii="Copperplate32bc" w:hAnsi="Copperplate32bc"/>
                                <w:sz w:val="28"/>
                                <w:szCs w:val="28"/>
                              </w:rPr>
                            </w:pPr>
                            <w:r w:rsidRPr="003610F9">
                              <w:rPr>
                                <w:rFonts w:ascii="Copperplate32bc" w:hAnsi="Copperplate32bc"/>
                                <w:sz w:val="28"/>
                                <w:szCs w:val="28"/>
                              </w:rPr>
                              <w:t>Axel Mütze</w:t>
                            </w:r>
                          </w:p>
                          <w:p w14:paraId="2CE93090" w14:textId="77777777" w:rsidR="00744AFC" w:rsidRPr="00823B22" w:rsidRDefault="00744AFC" w:rsidP="00C0566B">
                            <w:pPr>
                              <w:spacing w:after="0" w:line="276" w:lineRule="auto"/>
                              <w:rPr>
                                <w:rFonts w:ascii="Copperplate32bc" w:hAnsi="Copperplate32bc"/>
                                <w:sz w:val="16"/>
                                <w:szCs w:val="16"/>
                              </w:rPr>
                            </w:pPr>
                            <w:r>
                              <w:rPr>
                                <w:rFonts w:ascii="Copperplate32bc" w:hAnsi="Copperplate32bc"/>
                              </w:rPr>
                              <w:t xml:space="preserve">Rechtsanwalt </w:t>
                            </w:r>
                            <w:r>
                              <w:rPr>
                                <w:rFonts w:ascii="Copperplate32bc" w:hAnsi="Copperplate32bc"/>
                                <w:sz w:val="16"/>
                                <w:szCs w:val="16"/>
                              </w:rPr>
                              <w:t>(Partner)</w:t>
                            </w:r>
                          </w:p>
                          <w:p w14:paraId="08F8D5EA" w14:textId="77777777" w:rsidR="00744AFC" w:rsidRDefault="00B13816" w:rsidP="00C0566B">
                            <w:pPr>
                              <w:spacing w:after="0" w:line="276" w:lineRule="auto"/>
                              <w:rPr>
                                <w:rFonts w:ascii="Copperplate32bc" w:hAnsi="Copperplate32bc"/>
                              </w:rPr>
                            </w:pPr>
                            <w:r>
                              <w:rPr>
                                <w:rFonts w:ascii="Copperplate32bc" w:hAnsi="Copperplate32bc"/>
                              </w:rPr>
                              <w:t>Fachanwalt</w:t>
                            </w:r>
                            <w:r w:rsidR="00744AFC">
                              <w:rPr>
                                <w:rFonts w:ascii="Copperplate32bc" w:hAnsi="Copperplate32bc"/>
                              </w:rPr>
                              <w:t xml:space="preserve"> für</w:t>
                            </w:r>
                            <w:r w:rsidR="00C0566B">
                              <w:rPr>
                                <w:rFonts w:ascii="Copperplate32bc" w:hAnsi="Copperplate32bc"/>
                              </w:rPr>
                              <w:t xml:space="preserve"> U</w:t>
                            </w:r>
                            <w:r w:rsidR="00744AFC">
                              <w:rPr>
                                <w:rFonts w:ascii="Copperplate32bc" w:hAnsi="Copperplate32bc"/>
                              </w:rPr>
                              <w:t xml:space="preserve">rheber- und </w:t>
                            </w:r>
                            <w:r>
                              <w:rPr>
                                <w:rFonts w:ascii="Copperplate32bc" w:hAnsi="Copperplate32bc"/>
                              </w:rPr>
                              <w:t>M</w:t>
                            </w:r>
                            <w:r w:rsidR="00744AFC">
                              <w:rPr>
                                <w:rFonts w:ascii="Copperplate32bc" w:hAnsi="Copperplate32bc"/>
                              </w:rPr>
                              <w:t>edienrecht</w:t>
                            </w:r>
                          </w:p>
                          <w:p w14:paraId="4D331E11" w14:textId="77777777" w:rsidR="00744AFC" w:rsidRPr="009922C4" w:rsidRDefault="00744AFC" w:rsidP="00C0566B">
                            <w:pPr>
                              <w:spacing w:after="0" w:line="276" w:lineRule="auto"/>
                              <w:rPr>
                                <w:rFonts w:ascii="Copperplate32bc" w:hAnsi="Copperplate32bc"/>
                              </w:rPr>
                            </w:pPr>
                          </w:p>
                          <w:p w14:paraId="3D154486" w14:textId="77777777" w:rsidR="00744AFC" w:rsidRDefault="00744AFC" w:rsidP="00C0566B">
                            <w:pPr>
                              <w:spacing w:after="0" w:line="276" w:lineRule="auto"/>
                              <w:rPr>
                                <w:rFonts w:ascii="Copperplate32bc" w:hAnsi="Copperplate32bc"/>
                                <w:sz w:val="28"/>
                                <w:szCs w:val="28"/>
                              </w:rPr>
                            </w:pPr>
                            <w:r>
                              <w:rPr>
                                <w:rFonts w:ascii="Copperplate32bc" w:hAnsi="Copperplate32bc"/>
                                <w:sz w:val="28"/>
                                <w:szCs w:val="28"/>
                              </w:rPr>
                              <w:t xml:space="preserve">Katharina </w:t>
                            </w:r>
                            <w:r w:rsidR="003C585D">
                              <w:rPr>
                                <w:rFonts w:ascii="Copperplate32bc" w:hAnsi="Copperplate32bc"/>
                                <w:sz w:val="28"/>
                                <w:szCs w:val="28"/>
                              </w:rPr>
                              <w:t>Heidlberger</w:t>
                            </w:r>
                          </w:p>
                          <w:p w14:paraId="73F2940E" w14:textId="77777777" w:rsidR="00744AFC" w:rsidRDefault="00744AFC" w:rsidP="00C0566B">
                            <w:pPr>
                              <w:spacing w:after="0" w:line="276" w:lineRule="auto"/>
                              <w:jc w:val="left"/>
                              <w:rPr>
                                <w:rFonts w:ascii="Copperplate32bc" w:hAnsi="Copperplate32bc"/>
                                <w:sz w:val="16"/>
                                <w:szCs w:val="16"/>
                              </w:rPr>
                            </w:pPr>
                            <w:r w:rsidRPr="00656557">
                              <w:rPr>
                                <w:rFonts w:ascii="Copperplate32bc" w:hAnsi="Copperplate32bc"/>
                              </w:rPr>
                              <w:t>Rechtsanwältin</w:t>
                            </w:r>
                            <w:r>
                              <w:rPr>
                                <w:rFonts w:ascii="Copperplate32bc" w:hAnsi="Copperplate32bc"/>
                              </w:rPr>
                              <w:t xml:space="preserve"> </w:t>
                            </w:r>
                            <w:r>
                              <w:rPr>
                                <w:rFonts w:ascii="Copperplate32bc" w:hAnsi="Copperplate32bc"/>
                                <w:sz w:val="16"/>
                                <w:szCs w:val="16"/>
                              </w:rPr>
                              <w:t>(in Anstellung)</w:t>
                            </w:r>
                          </w:p>
                          <w:p w14:paraId="3C26D2F3" w14:textId="77777777" w:rsidR="00E048A3" w:rsidRPr="00554AE0" w:rsidRDefault="00E048A3" w:rsidP="00C0566B">
                            <w:pPr>
                              <w:spacing w:line="276" w:lineRule="auto"/>
                              <w:jc w:val="left"/>
                              <w:rPr>
                                <w:rFonts w:ascii="Copperplate32bc" w:hAnsi="Copperplate32bc"/>
                              </w:rPr>
                            </w:pPr>
                            <w:r>
                              <w:rPr>
                                <w:rFonts w:ascii="Copperplate32bc" w:hAnsi="Copperplate32bc"/>
                              </w:rPr>
                              <w:t>Fachanwältin für Verwaltungsrecht</w:t>
                            </w:r>
                          </w:p>
                          <w:p w14:paraId="3877837A" w14:textId="77777777" w:rsidR="00E048A3" w:rsidRPr="00823B22" w:rsidRDefault="00E048A3" w:rsidP="00C0566B">
                            <w:pPr>
                              <w:spacing w:after="0" w:line="276" w:lineRule="auto"/>
                              <w:rPr>
                                <w:rFonts w:ascii="Copperplate32bc" w:hAnsi="Copperplate32bc"/>
                                <w:sz w:val="16"/>
                                <w:szCs w:val="16"/>
                              </w:rPr>
                            </w:pPr>
                          </w:p>
                          <w:p w14:paraId="5BFBB8EF" w14:textId="77777777" w:rsidR="00554AE0" w:rsidRPr="00554AE0" w:rsidRDefault="00554AE0" w:rsidP="000F2FCB">
                            <w:pPr>
                              <w:spacing w:after="0"/>
                              <w:rPr>
                                <w:rFonts w:ascii="Copperplate32bc" w:hAnsi="Copperplate32bc"/>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EEB214" id="_x0000_t202" coordsize="21600,21600" o:spt="202" path="m,l,21600r21600,l21600,xe">
                <v:stroke joinstyle="miter"/>
                <v:path gradientshapeok="t" o:connecttype="rect"/>
              </v:shapetype>
              <v:shape id="Textfeld 2" o:spid="_x0000_s1026" type="#_x0000_t202" style="position:absolute;left:0;text-align:left;margin-left:71.8pt;margin-top:11.3pt;width:192.35pt;height:195.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" strokecolor="white [3212]">
                <v:textbox>
                  <w:txbxContent>
                    <w:p w14:paraId="0DB76890" w14:textId="77777777" w:rsidR="00744AFC" w:rsidRPr="003610F9" w:rsidRDefault="00744AFC" w:rsidP="00C0566B">
                      <w:pPr>
                        <w:spacing w:after="0" w:line="276" w:lineRule="auto"/>
                        <w:rPr>
                          <w:rFonts w:ascii="Copperplate32bc" w:hAnsi="Copperplate32bc"/>
                          <w:sz w:val="28"/>
                          <w:szCs w:val="28"/>
                        </w:rPr>
                      </w:pPr>
                      <w:r w:rsidRPr="003610F9">
                        <w:rPr>
                          <w:rFonts w:ascii="Copperplate32bc" w:hAnsi="Copperplate32bc"/>
                          <w:sz w:val="28"/>
                          <w:szCs w:val="28"/>
                        </w:rPr>
                        <w:t>Christoph J. Partsch</w:t>
                      </w:r>
                    </w:p>
                    <w:p w14:paraId="503324B1" w14:textId="77777777" w:rsidR="00744AFC" w:rsidRPr="00554AE0" w:rsidRDefault="00C0566B" w:rsidP="00C0566B">
                      <w:pPr>
                        <w:spacing w:after="0" w:line="276" w:lineRule="auto"/>
                        <w:rPr>
                          <w:rFonts w:ascii="Copperplate32bc" w:hAnsi="Copperplate32bc"/>
                        </w:rPr>
                      </w:pPr>
                      <w:r>
                        <w:rPr>
                          <w:rFonts w:ascii="Copperplate32bc" w:hAnsi="Copperplate32bc"/>
                        </w:rPr>
                        <w:t xml:space="preserve">LL.M. </w:t>
                      </w:r>
                      <w:r w:rsidR="00744AFC">
                        <w:rPr>
                          <w:rFonts w:ascii="Copperplate32bc" w:hAnsi="Copperplate32bc"/>
                        </w:rPr>
                        <w:t>(</w:t>
                      </w:r>
                      <w:r>
                        <w:rPr>
                          <w:rFonts w:ascii="Copperplate32bc" w:hAnsi="Copperplate32bc"/>
                        </w:rPr>
                        <w:t>D</w:t>
                      </w:r>
                      <w:r w:rsidR="00744AFC">
                        <w:rPr>
                          <w:rFonts w:ascii="Copperplate32bc" w:hAnsi="Copperplate32bc"/>
                        </w:rPr>
                        <w:t xml:space="preserve">uke), </w:t>
                      </w:r>
                      <w:r w:rsidR="00B13816">
                        <w:rPr>
                          <w:rFonts w:ascii="Copperplate32bc" w:hAnsi="Copperplate32bc"/>
                        </w:rPr>
                        <w:t>Dr.</w:t>
                      </w:r>
                      <w:r w:rsidR="00744AFC">
                        <w:rPr>
                          <w:rFonts w:ascii="Copperplate32bc" w:hAnsi="Copperplate32bc"/>
                        </w:rPr>
                        <w:t xml:space="preserve"> jur.</w:t>
                      </w:r>
                    </w:p>
                    <w:p w14:paraId="551385F9" w14:textId="77777777" w:rsidR="00744AFC" w:rsidRPr="00823B22" w:rsidRDefault="00744AFC" w:rsidP="00C0566B">
                      <w:pPr>
                        <w:spacing w:after="0" w:line="276" w:lineRule="auto"/>
                        <w:rPr>
                          <w:rFonts w:ascii="Copperplate32bc" w:hAnsi="Copperplate32bc"/>
                          <w:sz w:val="16"/>
                          <w:szCs w:val="16"/>
                        </w:rPr>
                      </w:pPr>
                      <w:r w:rsidRPr="00554AE0">
                        <w:rPr>
                          <w:rFonts w:ascii="Copperplate32bc" w:hAnsi="Copperplate32bc"/>
                        </w:rPr>
                        <w:t>Rechtsanwalt</w:t>
                      </w:r>
                      <w:r>
                        <w:rPr>
                          <w:rFonts w:ascii="Copperplate32bc" w:hAnsi="Copperplate32bc"/>
                        </w:rPr>
                        <w:t xml:space="preserve"> </w:t>
                      </w:r>
                      <w:r>
                        <w:rPr>
                          <w:rFonts w:ascii="Copperplate32bc" w:hAnsi="Copperplate32bc"/>
                          <w:sz w:val="16"/>
                          <w:szCs w:val="16"/>
                        </w:rPr>
                        <w:t>(Partner)</w:t>
                      </w:r>
                    </w:p>
                    <w:p w14:paraId="69077BF8" w14:textId="77777777" w:rsidR="00744AFC" w:rsidRPr="00554AE0" w:rsidRDefault="00744AFC" w:rsidP="00C0566B">
                      <w:pPr>
                        <w:spacing w:after="0" w:line="276" w:lineRule="auto"/>
                        <w:rPr>
                          <w:rFonts w:ascii="Copperplate32bc" w:hAnsi="Copperplate32bc"/>
                        </w:rPr>
                      </w:pPr>
                    </w:p>
                    <w:p w14:paraId="5F2BC31E" w14:textId="77777777" w:rsidR="00744AFC" w:rsidRPr="003610F9" w:rsidRDefault="00744AFC" w:rsidP="00C0566B">
                      <w:pPr>
                        <w:spacing w:after="0" w:line="276" w:lineRule="auto"/>
                        <w:rPr>
                          <w:rFonts w:ascii="Copperplate32bc" w:hAnsi="Copperplate32bc"/>
                          <w:sz w:val="28"/>
                          <w:szCs w:val="28"/>
                        </w:rPr>
                      </w:pPr>
                      <w:r w:rsidRPr="003610F9">
                        <w:rPr>
                          <w:rFonts w:ascii="Copperplate32bc" w:hAnsi="Copperplate32bc"/>
                          <w:sz w:val="28"/>
                          <w:szCs w:val="28"/>
                        </w:rPr>
                        <w:t>Axel Mütze</w:t>
                      </w:r>
                    </w:p>
                    <w:p w14:paraId="2CE93090" w14:textId="77777777" w:rsidR="00744AFC" w:rsidRPr="00823B22" w:rsidRDefault="00744AFC" w:rsidP="00C0566B">
                      <w:pPr>
                        <w:spacing w:after="0" w:line="276" w:lineRule="auto"/>
                        <w:rPr>
                          <w:rFonts w:ascii="Copperplate32bc" w:hAnsi="Copperplate32bc"/>
                          <w:sz w:val="16"/>
                          <w:szCs w:val="16"/>
                        </w:rPr>
                      </w:pPr>
                      <w:r>
                        <w:rPr>
                          <w:rFonts w:ascii="Copperplate32bc" w:hAnsi="Copperplate32bc"/>
                        </w:rPr>
                        <w:t xml:space="preserve">Rechtsanwalt </w:t>
                      </w:r>
                      <w:r>
                        <w:rPr>
                          <w:rFonts w:ascii="Copperplate32bc" w:hAnsi="Copperplate32bc"/>
                          <w:sz w:val="16"/>
                          <w:szCs w:val="16"/>
                        </w:rPr>
                        <w:t>(Partner)</w:t>
                      </w:r>
                    </w:p>
                    <w:p w14:paraId="08F8D5EA" w14:textId="77777777" w:rsidR="00744AFC" w:rsidRDefault="00B13816" w:rsidP="00C0566B">
                      <w:pPr>
                        <w:spacing w:after="0" w:line="276" w:lineRule="auto"/>
                        <w:rPr>
                          <w:rFonts w:ascii="Copperplate32bc" w:hAnsi="Copperplate32bc"/>
                        </w:rPr>
                      </w:pPr>
                      <w:r>
                        <w:rPr>
                          <w:rFonts w:ascii="Copperplate32bc" w:hAnsi="Copperplate32bc"/>
                        </w:rPr>
                        <w:t>Fachanwalt</w:t>
                      </w:r>
                      <w:r w:rsidR="00744AFC">
                        <w:rPr>
                          <w:rFonts w:ascii="Copperplate32bc" w:hAnsi="Copperplate32bc"/>
                        </w:rPr>
                        <w:t xml:space="preserve"> für</w:t>
                      </w:r>
                      <w:r w:rsidR="00C0566B">
                        <w:rPr>
                          <w:rFonts w:ascii="Copperplate32bc" w:hAnsi="Copperplate32bc"/>
                        </w:rPr>
                        <w:t xml:space="preserve"> U</w:t>
                      </w:r>
                      <w:r w:rsidR="00744AFC">
                        <w:rPr>
                          <w:rFonts w:ascii="Copperplate32bc" w:hAnsi="Copperplate32bc"/>
                        </w:rPr>
                        <w:t xml:space="preserve">rheber- und </w:t>
                      </w:r>
                      <w:r>
                        <w:rPr>
                          <w:rFonts w:ascii="Copperplate32bc" w:hAnsi="Copperplate32bc"/>
                        </w:rPr>
                        <w:t>M</w:t>
                      </w:r>
                      <w:r w:rsidR="00744AFC">
                        <w:rPr>
                          <w:rFonts w:ascii="Copperplate32bc" w:hAnsi="Copperplate32bc"/>
                        </w:rPr>
                        <w:t>edienrecht</w:t>
                      </w:r>
                    </w:p>
                    <w:p w14:paraId="4D331E11" w14:textId="77777777" w:rsidR="00744AFC" w:rsidRPr="009922C4" w:rsidRDefault="00744AFC" w:rsidP="00C0566B">
                      <w:pPr>
                        <w:spacing w:after="0" w:line="276" w:lineRule="auto"/>
                        <w:rPr>
                          <w:rFonts w:ascii="Copperplate32bc" w:hAnsi="Copperplate32bc"/>
                        </w:rPr>
                      </w:pPr>
                    </w:p>
                    <w:p w14:paraId="3D154486" w14:textId="77777777" w:rsidR="00744AFC" w:rsidRDefault="00744AFC" w:rsidP="00C0566B">
                      <w:pPr>
                        <w:spacing w:after="0" w:line="276" w:lineRule="auto"/>
                        <w:rPr>
                          <w:rFonts w:ascii="Copperplate32bc" w:hAnsi="Copperplate32bc"/>
                          <w:sz w:val="28"/>
                          <w:szCs w:val="28"/>
                        </w:rPr>
                      </w:pPr>
                      <w:r>
                        <w:rPr>
                          <w:rFonts w:ascii="Copperplate32bc" w:hAnsi="Copperplate32bc"/>
                          <w:sz w:val="28"/>
                          <w:szCs w:val="28"/>
                        </w:rPr>
                        <w:t xml:space="preserve">Katharina </w:t>
                      </w:r>
                      <w:r w:rsidR="003C585D">
                        <w:rPr>
                          <w:rFonts w:ascii="Copperplate32bc" w:hAnsi="Copperplate32bc"/>
                          <w:sz w:val="28"/>
                          <w:szCs w:val="28"/>
                        </w:rPr>
                        <w:t>Heidlberger</w:t>
                      </w:r>
                    </w:p>
                    <w:p w14:paraId="73F2940E" w14:textId="77777777" w:rsidR="00744AFC" w:rsidRDefault="00744AFC" w:rsidP="00C0566B">
                      <w:pPr>
                        <w:spacing w:after="0" w:line="276" w:lineRule="auto"/>
                        <w:jc w:val="left"/>
                        <w:rPr>
                          <w:rFonts w:ascii="Copperplate32bc" w:hAnsi="Copperplate32bc"/>
                          <w:sz w:val="16"/>
                          <w:szCs w:val="16"/>
                        </w:rPr>
                      </w:pPr>
                      <w:r w:rsidRPr="00656557">
                        <w:rPr>
                          <w:rFonts w:ascii="Copperplate32bc" w:hAnsi="Copperplate32bc"/>
                        </w:rPr>
                        <w:t>Rechtsanwältin</w:t>
                      </w:r>
                      <w:r>
                        <w:rPr>
                          <w:rFonts w:ascii="Copperplate32bc" w:hAnsi="Copperplate32bc"/>
                        </w:rPr>
                        <w:t xml:space="preserve"> </w:t>
                      </w:r>
                      <w:r>
                        <w:rPr>
                          <w:rFonts w:ascii="Copperplate32bc" w:hAnsi="Copperplate32bc"/>
                          <w:sz w:val="16"/>
                          <w:szCs w:val="16"/>
                        </w:rPr>
                        <w:t>(in Anstellung)</w:t>
                      </w:r>
                    </w:p>
                    <w:p w14:paraId="3C26D2F3" w14:textId="77777777" w:rsidR="00E048A3" w:rsidRPr="00554AE0" w:rsidRDefault="00E048A3" w:rsidP="00C0566B">
                      <w:pPr>
                        <w:spacing w:line="276" w:lineRule="auto"/>
                        <w:jc w:val="left"/>
                        <w:rPr>
                          <w:rFonts w:ascii="Copperplate32bc" w:hAnsi="Copperplate32bc"/>
                        </w:rPr>
                      </w:pPr>
                      <w:r>
                        <w:rPr>
                          <w:rFonts w:ascii="Copperplate32bc" w:hAnsi="Copperplate32bc"/>
                        </w:rPr>
                        <w:t>Fachanwältin für Verwaltungsrecht</w:t>
                      </w:r>
                    </w:p>
                    <w:p w14:paraId="3877837A" w14:textId="77777777" w:rsidR="00E048A3" w:rsidRPr="00823B22" w:rsidRDefault="00E048A3" w:rsidP="00C0566B">
                      <w:pPr>
                        <w:spacing w:after="0" w:line="276" w:lineRule="auto"/>
                        <w:rPr>
                          <w:rFonts w:ascii="Copperplate32bc" w:hAnsi="Copperplate32bc"/>
                          <w:sz w:val="16"/>
                          <w:szCs w:val="16"/>
                        </w:rPr>
                      </w:pPr>
                    </w:p>
                    <w:p w14:paraId="5BFBB8EF" w14:textId="77777777" w:rsidR="00554AE0" w:rsidRPr="00554AE0" w:rsidRDefault="00554AE0" w:rsidP="000F2FCB">
                      <w:pPr>
                        <w:spacing w:after="0"/>
                        <w:rPr>
                          <w:rFonts w:ascii="Copperplate32bc" w:hAnsi="Copperplate32bc"/>
                        </w:rPr>
                      </w:pPr>
                    </w:p>
                  </w:txbxContent>
                </v:textbox>
              </v:shape>
            </w:pict>
          </mc:Fallback>
        </mc:AlternateContent>
      </w:r>
    </w:p>
    <w:p w14:paraId="7D11E03A" w14:textId="77777777" w:rsidR="00D065EC" w:rsidRPr="002E63E1" w:rsidRDefault="00D065EC" w:rsidP="006E57CB">
      <w:pPr>
        <w:spacing w:after="0"/>
      </w:pPr>
    </w:p>
    <w:p w14:paraId="31D3FADF" w14:textId="77777777" w:rsidR="00D065EC" w:rsidRPr="002E63E1" w:rsidRDefault="00D065EC" w:rsidP="006E57CB">
      <w:pPr>
        <w:spacing w:after="0"/>
      </w:pPr>
    </w:p>
    <w:p w14:paraId="2C4C02C6" w14:textId="77777777" w:rsidR="00D065EC" w:rsidRPr="002E63E1" w:rsidRDefault="00D065EC" w:rsidP="006E57CB">
      <w:pPr>
        <w:spacing w:after="0"/>
      </w:pPr>
    </w:p>
    <w:p w14:paraId="7B131D86" w14:textId="77777777" w:rsidR="00D065EC" w:rsidRPr="002E63E1" w:rsidRDefault="00D065EC" w:rsidP="006E57CB">
      <w:pPr>
        <w:spacing w:after="0"/>
      </w:pPr>
    </w:p>
    <w:p w14:paraId="27609558" w14:textId="77777777" w:rsidR="00D065EC" w:rsidRPr="002E63E1" w:rsidRDefault="00D065EC" w:rsidP="006E57CB">
      <w:pPr>
        <w:spacing w:after="0"/>
      </w:pPr>
    </w:p>
    <w:p w14:paraId="3F4E0798" w14:textId="77777777" w:rsidR="00D5718E" w:rsidRPr="002E63E1" w:rsidRDefault="00D5718E" w:rsidP="006E57CB">
      <w:pPr>
        <w:spacing w:after="0"/>
        <w:ind w:left="-284"/>
      </w:pPr>
    </w:p>
    <w:p w14:paraId="2F8615A8" w14:textId="77777777" w:rsidR="00D5718E" w:rsidRPr="002E63E1" w:rsidRDefault="00D5718E" w:rsidP="006E57CB">
      <w:pPr>
        <w:spacing w:after="0"/>
        <w:ind w:left="-284"/>
      </w:pPr>
    </w:p>
    <w:p w14:paraId="45F993CA" w14:textId="77777777" w:rsidR="00AA26D1" w:rsidRPr="002E63E1" w:rsidRDefault="00AA26D1" w:rsidP="006E57CB">
      <w:pPr>
        <w:spacing w:after="0"/>
        <w:ind w:left="-284"/>
      </w:pPr>
    </w:p>
    <w:p w14:paraId="12A78A59" w14:textId="77777777" w:rsidR="00AA26D1" w:rsidRPr="002E63E1" w:rsidRDefault="00AA26D1" w:rsidP="006E57CB">
      <w:pPr>
        <w:spacing w:after="0"/>
        <w:ind w:left="-284"/>
      </w:pPr>
    </w:p>
    <w:p w14:paraId="40732344" w14:textId="77777777" w:rsidR="00AA26D1" w:rsidRPr="002E63E1" w:rsidRDefault="00AA26D1" w:rsidP="006E57CB">
      <w:pPr>
        <w:spacing w:after="0"/>
        <w:ind w:left="-284"/>
      </w:pPr>
    </w:p>
    <w:p w14:paraId="1C1CC49E" w14:textId="2C57208F" w:rsidR="00C4629C" w:rsidRPr="00897AC5" w:rsidRDefault="00AA2129" w:rsidP="006E57CB">
      <w:pPr>
        <w:spacing w:after="0"/>
        <w:rPr>
          <w:b/>
        </w:rPr>
      </w:pPr>
      <w:r>
        <w:rPr>
          <w:noProof/>
        </w:rPr>
        <mc:AlternateContent>
          <mc:Choice Requires="wps">
            <w:drawing>
              <wp:anchor distT="0" distB="0" distL="114300" distR="114300" simplePos="0" relativeHeight="251658240" behindDoc="0" locked="0" layoutInCell="1" allowOverlap="1" wp14:anchorId="15328E7F" wp14:editId="4174791D">
                <wp:simplePos x="0" y="0"/>
                <wp:positionH relativeFrom="column">
                  <wp:posOffset>-871855</wp:posOffset>
                </wp:positionH>
                <wp:positionV relativeFrom="paragraph">
                  <wp:posOffset>240665</wp:posOffset>
                </wp:positionV>
                <wp:extent cx="190500" cy="0"/>
                <wp:effectExtent l="9525" t="6985" r="9525" b="12065"/>
                <wp:wrapNone/>
                <wp:docPr id="171356100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43270F" id="_x0000_t32" coordsize="21600,21600" o:spt="32" o:oned="t" path="m,l21600,21600e" filled="f">
                <v:path arrowok="t" fillok="f" o:connecttype="none"/>
                <o:lock v:ext="edit" shapetype="t"/>
              </v:shapetype>
              <v:shape id="AutoShape 7" o:spid="_x0000_s1026" type="#_x0000_t32" style="position:absolute;margin-left:-68.65pt;margin-top:18.95pt;width: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"/>
            </w:pict>
          </mc:Fallback>
        </mc:AlternateContent>
      </w:r>
      <w:r w:rsidR="00386E6C" w:rsidRPr="00897AC5">
        <w:rPr>
          <w:b/>
        </w:rPr>
        <w:t>p</w:t>
      </w:r>
      <w:r w:rsidR="00C4629C" w:rsidRPr="00897AC5">
        <w:rPr>
          <w:b/>
        </w:rPr>
        <w:t xml:space="preserve">er </w:t>
      </w:r>
      <w:r w:rsidR="002E63E1" w:rsidRPr="00897AC5">
        <w:rPr>
          <w:b/>
        </w:rPr>
        <w:t>beA</w:t>
      </w:r>
      <w:r w:rsidR="00D039D5" w:rsidRPr="00897AC5">
        <w:rPr>
          <w:b/>
        </w:rPr>
        <w:t xml:space="preserve"> </w:t>
      </w:r>
    </w:p>
    <w:p w14:paraId="16AF9DDE" w14:textId="77777777" w:rsidR="00744AFC" w:rsidRPr="0070388E" w:rsidRDefault="00744AFC" w:rsidP="006E57CB">
      <w:pPr>
        <w:spacing w:after="0"/>
        <w:ind w:left="-284"/>
        <w:jc w:val="right"/>
      </w:pPr>
    </w:p>
    <w:p w14:paraId="6A481787" w14:textId="5DA5CE9B" w:rsidR="000D0DF9" w:rsidRPr="0070388E" w:rsidRDefault="008174D3" w:rsidP="006E57CB">
      <w:pPr>
        <w:spacing w:after="0"/>
        <w:ind w:left="-284"/>
        <w:jc w:val="right"/>
      </w:pPr>
      <w:r>
        <w:t>30</w:t>
      </w:r>
      <w:bookmarkStart w:id="2" w:name="MerkPosIDE"/>
      <w:bookmarkEnd w:id="2"/>
      <w:r w:rsidR="004F7EF0">
        <w:t>. Juli 2026</w:t>
      </w:r>
      <w:r w:rsidR="002E63E1" w:rsidRPr="0070388E">
        <w:t xml:space="preserve"> </w:t>
      </w:r>
      <w:r w:rsidR="003D16A6">
        <w:t>JB</w:t>
      </w:r>
    </w:p>
    <w:p w14:paraId="6ABB73A0" w14:textId="77777777" w:rsidR="000D0DF9" w:rsidRDefault="00E63E56" w:rsidP="006E57CB">
      <w:pPr>
        <w:spacing w:after="0"/>
        <w:ind w:left="-284"/>
        <w:jc w:val="right"/>
      </w:pPr>
      <w:r w:rsidRPr="0070388E">
        <w:tab/>
      </w:r>
      <w:r w:rsidRPr="0070388E">
        <w:tab/>
      </w:r>
      <w:r w:rsidRPr="0070388E">
        <w:tab/>
      </w:r>
      <w:r w:rsidRPr="0070388E">
        <w:tab/>
      </w:r>
      <w:r w:rsidRPr="0070388E">
        <w:tab/>
      </w:r>
      <w:r w:rsidRPr="0070388E">
        <w:tab/>
      </w:r>
      <w:r w:rsidRPr="0070388E">
        <w:tab/>
      </w:r>
      <w:r w:rsidRPr="0070388E">
        <w:tab/>
      </w:r>
      <w:r w:rsidR="00FC672D" w:rsidRPr="0070388E">
        <w:tab/>
      </w:r>
      <w:r w:rsidR="002E63E1" w:rsidRPr="0070388E">
        <w:t>AZ: 123/26-1</w:t>
      </w:r>
    </w:p>
    <w:p w14:paraId="693ED74F" w14:textId="2C4B6F63" w:rsidR="004F7EF0" w:rsidRDefault="004F7EF0" w:rsidP="00032AD8">
      <w:pPr>
        <w:jc w:val="center"/>
        <w:rPr>
          <w:b/>
        </w:rPr>
      </w:pPr>
      <w:r>
        <w:rPr>
          <w:b/>
        </w:rPr>
        <w:t>Verfassungsbeschwerde</w:t>
      </w:r>
    </w:p>
    <w:p w14:paraId="2AD6EDDB" w14:textId="77777777" w:rsidR="004F7EF0" w:rsidRDefault="004F7EF0" w:rsidP="00032AD8">
      <w:pPr>
        <w:pStyle w:val="KeinLeerraum"/>
      </w:pPr>
      <w:r>
        <w:t>Dr. Gabriele Weber</w:t>
      </w:r>
    </w:p>
    <w:p w14:paraId="64AEB026" w14:textId="77777777" w:rsidR="004F7EF0" w:rsidRDefault="004F7EF0" w:rsidP="00032AD8">
      <w:pPr>
        <w:pStyle w:val="KeinLeerraum"/>
      </w:pPr>
      <w:r>
        <w:t>Ostender Straße 9</w:t>
      </w:r>
    </w:p>
    <w:p w14:paraId="1CA8822A" w14:textId="77777777" w:rsidR="004F7EF0" w:rsidRDefault="004F7EF0" w:rsidP="00032AD8">
      <w:pPr>
        <w:pStyle w:val="KeinLeerraum"/>
      </w:pPr>
      <w:r>
        <w:t>13353 Berlin</w:t>
      </w:r>
    </w:p>
    <w:p w14:paraId="07964F5E" w14:textId="05993B79" w:rsidR="004F7EF0" w:rsidRDefault="004F7EF0" w:rsidP="00032AD8">
      <w:pPr>
        <w:pStyle w:val="KeinLeerraum"/>
        <w:jc w:val="right"/>
      </w:pPr>
      <w:r>
        <w:t xml:space="preserve"> -Beschwerdeführerin -</w:t>
      </w:r>
    </w:p>
    <w:p w14:paraId="2C6F6EEA" w14:textId="77777777" w:rsidR="004F7EF0" w:rsidRDefault="004F7EF0" w:rsidP="00032AD8">
      <w:pPr>
        <w:pStyle w:val="KeinLeerraum"/>
      </w:pPr>
    </w:p>
    <w:p w14:paraId="49FECF77" w14:textId="77777777" w:rsidR="004F7EF0" w:rsidRDefault="004F7EF0" w:rsidP="00032AD8">
      <w:pPr>
        <w:pStyle w:val="KeinLeerraum"/>
      </w:pPr>
      <w:r>
        <w:rPr>
          <w:u w:val="single"/>
        </w:rPr>
        <w:t>Prozessbevollmächtigte:</w:t>
      </w:r>
      <w:r>
        <w:t xml:space="preserve"> Partsch &amp; Partner Rechtsanwälte, Kurfürstendamm 50, 10707 Berlin</w:t>
      </w:r>
    </w:p>
    <w:p w14:paraId="4F69D482" w14:textId="77777777" w:rsidR="004F7EF0" w:rsidRDefault="004F7EF0" w:rsidP="00032AD8">
      <w:pPr>
        <w:pStyle w:val="KeinLeerraum"/>
      </w:pPr>
    </w:p>
    <w:p w14:paraId="2A0A559F" w14:textId="77777777" w:rsidR="004F7EF0" w:rsidRDefault="004F7EF0" w:rsidP="004F7EF0">
      <w:r>
        <w:t xml:space="preserve">gegen </w:t>
      </w:r>
    </w:p>
    <w:p w14:paraId="652B0D07" w14:textId="1BF6BE3C" w:rsidR="004F7EF0" w:rsidRDefault="004F7EF0" w:rsidP="004F7EF0">
      <w:r>
        <w:t>das Urteil des Bundesverwaltungsgerichtes vom 4. Juni 2026 – Az. 10 A 2.25 – zugestellt am 22. Juli 2026.</w:t>
      </w:r>
    </w:p>
    <w:p w14:paraId="166695C2" w14:textId="45014432" w:rsidR="004A5457" w:rsidRPr="0006329F" w:rsidRDefault="004A5457" w:rsidP="004F7EF0">
      <w:r>
        <w:t>Wir zeigen an, dass uns die Beschwerdeführerin zur Erhebung einer Verfassungsbeschwerde bevollmächtigt hat</w:t>
      </w:r>
      <w:bookmarkStart w:id="3" w:name="AnlageString28"/>
      <w:bookmarkStart w:id="4" w:name="RAAnlage28"/>
      <w:bookmarkEnd w:id="3"/>
      <w:r w:rsidRPr="004A5457">
        <w:t xml:space="preserve"> (Anl. 1)</w:t>
      </w:r>
      <w:bookmarkEnd w:id="4"/>
      <w:r w:rsidR="00AA2129">
        <w:rPr>
          <w:noProof/>
        </w:rPr>
        <mc:AlternateContent>
          <mc:Choice Requires="wps">
            <w:drawing>
              <wp:anchor distT="0" distB="0" distL="114300" distR="114300" simplePos="0" relativeHeight="251715584" behindDoc="0" locked="0" layoutInCell="1" allowOverlap="1" wp14:anchorId="14B7FC23" wp14:editId="5B617639">
                <wp:simplePos x="0" y="0"/>
                <wp:positionH relativeFrom="column">
                  <wp:posOffset>-508000</wp:posOffset>
                </wp:positionH>
                <wp:positionV relativeFrom="line">
                  <wp:posOffset>0</wp:posOffset>
                </wp:positionV>
                <wp:extent cx="34290" cy="106680"/>
                <wp:effectExtent l="11430" t="5715" r="11430" b="11430"/>
                <wp:wrapNone/>
                <wp:docPr id="1025459818" name="RAAnlGraf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19974" id="RAAnlGraf29"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r>
        <w:t xml:space="preserve"> und </w:t>
      </w:r>
      <w:r>
        <w:rPr>
          <w:b/>
        </w:rPr>
        <w:t>beantragen</w:t>
      </w:r>
      <w:r w:rsidR="0006329F">
        <w:rPr>
          <w:b/>
        </w:rPr>
        <w:t xml:space="preserve"> </w:t>
      </w:r>
      <w:r w:rsidR="0006329F">
        <w:t>zu erkennen:</w:t>
      </w:r>
    </w:p>
    <w:p w14:paraId="1D73F8A1" w14:textId="7BB89E68" w:rsidR="0006329F" w:rsidRPr="0006329F" w:rsidRDefault="0006329F" w:rsidP="0006329F">
      <w:pPr>
        <w:pStyle w:val="Listenabsatz"/>
        <w:numPr>
          <w:ilvl w:val="0"/>
          <w:numId w:val="21"/>
        </w:numPr>
        <w:spacing w:after="0"/>
        <w:jc w:val="left"/>
        <w:rPr>
          <w:bCs/>
        </w:rPr>
      </w:pPr>
      <w:r w:rsidRPr="0006329F">
        <w:rPr>
          <w:bCs/>
        </w:rPr>
        <w:t>Das Urteil des Bundesverwaltungsgerichts vom 4. Juni 2026 – 10 A 2.25 – verletzt die Beschwerdeführerin in Ihren Grundrechten aus Art.</w:t>
      </w:r>
      <w:r w:rsidR="000B5BD9">
        <w:rPr>
          <w:bCs/>
        </w:rPr>
        <w:t xml:space="preserve"> 5 Abs. 1 S. 2 GG, </w:t>
      </w:r>
      <w:r w:rsidRPr="0006329F">
        <w:rPr>
          <w:bCs/>
        </w:rPr>
        <w:t xml:space="preserve"> 19 Abs. 4</w:t>
      </w:r>
      <w:r w:rsidR="000B5BD9">
        <w:rPr>
          <w:bCs/>
        </w:rPr>
        <w:t xml:space="preserve"> GG</w:t>
      </w:r>
      <w:r w:rsidRPr="0006329F">
        <w:rPr>
          <w:bCs/>
        </w:rPr>
        <w:t xml:space="preserve"> und Art. 103 Abs. 1 GG sowie in ihren Rechten aus Art. 6 und Art. 10 EMRK.</w:t>
      </w:r>
    </w:p>
    <w:p w14:paraId="79E30C07" w14:textId="77777777" w:rsidR="0006329F" w:rsidRDefault="0006329F" w:rsidP="0006329F">
      <w:pPr>
        <w:spacing w:after="0"/>
        <w:ind w:left="708"/>
        <w:jc w:val="left"/>
        <w:rPr>
          <w:bCs/>
        </w:rPr>
      </w:pPr>
    </w:p>
    <w:p w14:paraId="1651600E" w14:textId="0B9AEFF3" w:rsidR="0006329F" w:rsidRPr="0006329F" w:rsidRDefault="0006329F" w:rsidP="0006329F">
      <w:pPr>
        <w:pStyle w:val="Listenabsatz"/>
        <w:numPr>
          <w:ilvl w:val="0"/>
          <w:numId w:val="21"/>
        </w:numPr>
        <w:spacing w:after="0"/>
        <w:jc w:val="left"/>
        <w:rPr>
          <w:bCs/>
        </w:rPr>
      </w:pPr>
      <w:r w:rsidRPr="0006329F">
        <w:rPr>
          <w:bCs/>
        </w:rPr>
        <w:t xml:space="preserve">Das Urteil wird aufgehoben und </w:t>
      </w:r>
      <w:r w:rsidR="000B5BD9">
        <w:rPr>
          <w:bCs/>
        </w:rPr>
        <w:t xml:space="preserve">die Sache </w:t>
      </w:r>
      <w:r w:rsidRPr="0006329F">
        <w:rPr>
          <w:bCs/>
        </w:rPr>
        <w:t>zurück</w:t>
      </w:r>
      <w:r w:rsidR="000B5BD9">
        <w:rPr>
          <w:bCs/>
        </w:rPr>
        <w:t>verwiesen</w:t>
      </w:r>
      <w:r w:rsidRPr="0006329F">
        <w:rPr>
          <w:bCs/>
        </w:rPr>
        <w:t xml:space="preserve"> an das Bundesverwaltungsgericht</w:t>
      </w:r>
      <w:r w:rsidR="000B5BD9">
        <w:rPr>
          <w:bCs/>
        </w:rPr>
        <w:t>.</w:t>
      </w:r>
    </w:p>
    <w:p w14:paraId="5323B12A" w14:textId="3944EFBB" w:rsidR="004F7EF0" w:rsidRDefault="004F7EF0" w:rsidP="004F7EF0">
      <w:r>
        <w:lastRenderedPageBreak/>
        <w:t xml:space="preserve">Zur </w:t>
      </w:r>
      <w:r>
        <w:rPr>
          <w:b/>
        </w:rPr>
        <w:t>Begründung</w:t>
      </w:r>
      <w:r>
        <w:t> führen wir aus:</w:t>
      </w:r>
    </w:p>
    <w:p w14:paraId="32DED393" w14:textId="07CB729A" w:rsidR="004F7EF0" w:rsidRDefault="004F7EF0" w:rsidP="004F7EF0">
      <w:pPr>
        <w:pStyle w:val="berschrift2"/>
      </w:pPr>
      <w:r>
        <w:t>Sachverhalt</w:t>
      </w:r>
    </w:p>
    <w:p w14:paraId="03504236" w14:textId="76CED73B" w:rsidR="004A5457" w:rsidRDefault="004A5457" w:rsidP="004A5457">
      <w:pPr>
        <w:pStyle w:val="berschrift3"/>
      </w:pPr>
      <w:r>
        <w:t>Gang des Verfahrens</w:t>
      </w:r>
    </w:p>
    <w:p w14:paraId="16587773" w14:textId="2F80CDF9" w:rsidR="004F7EF0" w:rsidRDefault="004F7EF0" w:rsidP="004F7EF0">
      <w:r>
        <w:t xml:space="preserve">Die Klägerin ist Journalistin und Publizistin. Sie recherchiert zum </w:t>
      </w:r>
      <w:r w:rsidRPr="004F7EF0">
        <w:t>Pariser Abrüstungsgipfel, zur Festnahme Adolf Eichmanns in Argentinien und dessen Auftauchen</w:t>
      </w:r>
      <w:bookmarkStart w:id="5" w:name="AnlageString25"/>
      <w:r w:rsidR="006B0E11">
        <w:t>2026-06-04 Urteil - 10 A 2.25</w:t>
      </w:r>
      <w:bookmarkStart w:id="6" w:name="RAAnlage25"/>
      <w:bookmarkEnd w:id="5"/>
      <w:r w:rsidR="004A5457" w:rsidRPr="004A5457">
        <w:t xml:space="preserve"> (Anl. 2)</w:t>
      </w:r>
      <w:bookmarkEnd w:id="6"/>
      <w:r w:rsidR="00AA2129">
        <w:rPr>
          <w:noProof/>
        </w:rPr>
        <mc:AlternateContent>
          <mc:Choice Requires="wps">
            <w:drawing>
              <wp:anchor distT="0" distB="0" distL="114300" distR="114300" simplePos="0" relativeHeight="251709440" behindDoc="0" locked="0" layoutInCell="1" allowOverlap="1" wp14:anchorId="719E9C0C" wp14:editId="1BA8A2F8">
                <wp:simplePos x="0" y="0"/>
                <wp:positionH relativeFrom="column">
                  <wp:posOffset>-508000</wp:posOffset>
                </wp:positionH>
                <wp:positionV relativeFrom="line">
                  <wp:posOffset>0</wp:posOffset>
                </wp:positionV>
                <wp:extent cx="34290" cy="106680"/>
                <wp:effectExtent l="11430" t="12700" r="11430" b="13970"/>
                <wp:wrapNone/>
                <wp:docPr id="48382860" name="RAAnlGraf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D77AA8" id="RAAnlGraf26" o:spid="_x0000_s1026" style="position:absolute;flip: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r w:rsidRPr="004F7EF0">
        <w:t xml:space="preserve"> in Israel sowie zu US-amerikanischen Atomversuchen in Argentinien und dem unmittelbar folgenden Erdbeben in Chile, jeweils im Mai 1960.</w:t>
      </w:r>
    </w:p>
    <w:p w14:paraId="25E53A75" w14:textId="2F746D44" w:rsidR="004F7EF0" w:rsidRDefault="004F7EF0" w:rsidP="004F7EF0">
      <w:r>
        <w:t xml:space="preserve">Im Juni 2020 beantragte sie beim Bundesnachrichtendienst (BND) Einsicht in alle zu den drei genannten Themenbereichen angelegten Akten sowie Einsicht </w:t>
      </w:r>
      <w:r w:rsidRPr="004F7EF0">
        <w:t>in die vollständigen und u</w:t>
      </w:r>
      <w:r>
        <w:t>n</w:t>
      </w:r>
      <w:r w:rsidRPr="004F7EF0">
        <w:t>geschwärzten Aufbewahrungseinheiten mit den Signaturen 3187, 100470, 100471, 121082 (Seiten 169-177 und Seiten 580-604) und 121099.</w:t>
      </w:r>
      <w:r>
        <w:t xml:space="preserve"> </w:t>
      </w:r>
      <w:r w:rsidRPr="004F7EF0">
        <w:t>Der BND beschied diesen Antrag in vier Teilbescheiden vom 14. Juli 2020, 19. November 2020, 19. März 2021 und 27. Mai 2021. Mit jedem dieser Bescheide stellte er der Klägerin einige vom Anfragegegenstand erfasste Signaturen zur Verfügung. Eine Reihe von Signaturen wiesen Nutzungsbeschränkungen wie Schwärzungen und Entnahmen von Dokumenten auf, die der BND auf § 6 Abs. 1 Satz 2 und § 13 Abs. 1 Satz 1 Nr. 1 und 2 BArchG stützte</w:t>
      </w:r>
      <w:r>
        <w:t>.</w:t>
      </w:r>
    </w:p>
    <w:p w14:paraId="6532BBF2" w14:textId="11FC8D2D" w:rsidR="00157F79" w:rsidRDefault="00157F79" w:rsidP="004F7EF0">
      <w:r>
        <w:t>Am 19. November 2020 erhob die Beschwerdeführerin Verpflichtungsklage vor dem in erster Instanz zuständigen BVerwG</w:t>
      </w:r>
      <w:r w:rsidR="000067B8">
        <w:t>, § 50 Abs. 1 Nr. 4 VwGO.</w:t>
      </w:r>
      <w:r>
        <w:t xml:space="preserve"> In die Klage hat sie später die im Nachgang zur Klageerhebung ergangenen Bescheide des BND einbezogen.</w:t>
      </w:r>
    </w:p>
    <w:p w14:paraId="5919DDB4" w14:textId="3EE64A26" w:rsidR="00436EDA" w:rsidRDefault="003D16A6" w:rsidP="004F7EF0">
      <w:r>
        <w:t xml:space="preserve">Mit Beschluss vom 28. April 2023 gab das BVerwG der Beklagten auf, die im Beschluss genannten streitgegenständlichen Unterlagen gem. § 99 VwGO dem Gericht vorzulegen. Der BND gab daraufhin eine undatierte Sperrerklärung ab, die dem Gericht am 3. Juli 2023 zuging. Auf Antrag der Beschwerdeführerin vom 27. Juli 2023 leitete das BVerwG daraufhin ein in-camera-Verfahren nach § 99 Abs. 1 VwGO ein. Der Fachsenat entschied mit Beschluss vom 6. Februar 2025, dass die Sperrerklärung und die Zurückhaltung der Unterlagen nach § 99 VwGO rechtmäßig seien. </w:t>
      </w:r>
      <w:r w:rsidR="00CB30E6">
        <w:t xml:space="preserve"> </w:t>
      </w:r>
      <w:r w:rsidR="00436EDA">
        <w:t xml:space="preserve">Im in-camera-Verfahren konnte die Beschwerdeführerin sich nicht äußern, denn das in-camera-Verfahren ist ein Geheimverfahren unter Ausschluss einer Partei des Rechtsstreits. Der Beschwerdeführerin ist mithin nicht bekannt, aus welchen Gründen und </w:t>
      </w:r>
      <w:r w:rsidR="00436EDA">
        <w:lastRenderedPageBreak/>
        <w:t>mit welchen Argumenten der BND die Unterlagen zurückhalten will. Sie konnte zu den Argumenten nicht Stellung nehmen.</w:t>
      </w:r>
    </w:p>
    <w:p w14:paraId="2A5143AA" w14:textId="6E16D0CA" w:rsidR="00CB30E6" w:rsidRDefault="00436EDA" w:rsidP="004F7EF0">
      <w:r>
        <w:t>Zum Beschluss des Fachsenats</w:t>
      </w:r>
      <w:r w:rsidR="00CB30E6">
        <w:t xml:space="preserve"> nahm die Beschwerdeführerin mit Schriftsatz vom 21. Mai 2026 umfänglich Stellung.</w:t>
      </w:r>
    </w:p>
    <w:p w14:paraId="23031BD6" w14:textId="4349F160" w:rsidR="00CB30E6" w:rsidRDefault="00CB30E6" w:rsidP="004F7EF0">
      <w:r>
        <w:t>Am 4. Juni 2026 fand vor dem BVerwG die mündliche Verhandlung statt. Das BVerwG verkündete am selben Tag sein klageabweisendes Urteil. Der erkennende 10. Senat des BVerwG sah sich s betreffend die Geheimhaltungsbedürftigkeit der streitgegenständlichen Unterlagen an die Feststellungen des Fachsenats aus dem in-camera-Verfahren gebunden.</w:t>
      </w:r>
    </w:p>
    <w:p w14:paraId="373E6231" w14:textId="59FD134E" w:rsidR="00CB30E6" w:rsidRDefault="00CB30E6" w:rsidP="004F7EF0">
      <w:r>
        <w:t>Die wesentlichen Schriftstücke des Verfahrens sind:</w:t>
      </w:r>
    </w:p>
    <w:p w14:paraId="455104B5" w14:textId="2D8EC7C4" w:rsidR="00CB30E6" w:rsidRDefault="00CB30E6" w:rsidP="00CB30E6">
      <w:pPr>
        <w:ind w:left="708"/>
      </w:pPr>
      <w:bookmarkStart w:id="7" w:name="AnlageString1"/>
      <w:r>
        <w:t>2020-11-19 - Klageschrift inkl. Anlagen</w:t>
      </w:r>
      <w:bookmarkStart w:id="8" w:name="RAAnlage1"/>
      <w:bookmarkEnd w:id="7"/>
      <w:r w:rsidR="004A5457" w:rsidRPr="004A5457">
        <w:t xml:space="preserve"> (Anl. 3)</w:t>
      </w:r>
      <w:bookmarkEnd w:id="8"/>
      <w:r w:rsidR="00AA2129">
        <w:rPr>
          <w:noProof/>
        </w:rPr>
        <mc:AlternateContent>
          <mc:Choice Requires="wps">
            <w:drawing>
              <wp:anchor distT="0" distB="0" distL="114300" distR="114300" simplePos="0" relativeHeight="251662336" behindDoc="0" locked="0" layoutInCell="1" allowOverlap="1" wp14:anchorId="47EEA398" wp14:editId="5BE9A5E9">
                <wp:simplePos x="0" y="0"/>
                <wp:positionH relativeFrom="column">
                  <wp:posOffset>-508000</wp:posOffset>
                </wp:positionH>
                <wp:positionV relativeFrom="line">
                  <wp:posOffset>0</wp:posOffset>
                </wp:positionV>
                <wp:extent cx="34290" cy="106680"/>
                <wp:effectExtent l="11430" t="6985" r="11430" b="10160"/>
                <wp:wrapNone/>
                <wp:docPr id="277748051" name="RAAnlGraf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783FDD" id="RAAnlGraf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21C1CABA" w14:textId="37290EDE" w:rsidR="003D16A6" w:rsidRDefault="00CB30E6" w:rsidP="00CB30E6">
      <w:pPr>
        <w:ind w:left="708"/>
      </w:pPr>
      <w:bookmarkStart w:id="9" w:name="AnlageString3"/>
      <w:r>
        <w:t>2021-03-15 - Klageerwiderung</w:t>
      </w:r>
      <w:bookmarkStart w:id="10" w:name="RAAnlage3"/>
      <w:bookmarkEnd w:id="9"/>
      <w:r w:rsidR="004A5457" w:rsidRPr="004A5457">
        <w:t xml:space="preserve"> (Anl. 4)</w:t>
      </w:r>
      <w:bookmarkEnd w:id="10"/>
      <w:r w:rsidR="00AA2129">
        <w:rPr>
          <w:noProof/>
        </w:rPr>
        <mc:AlternateContent>
          <mc:Choice Requires="wps">
            <w:drawing>
              <wp:anchor distT="0" distB="0" distL="114300" distR="114300" simplePos="0" relativeHeight="251664384" behindDoc="0" locked="0" layoutInCell="1" allowOverlap="1" wp14:anchorId="6417B904" wp14:editId="72BC26CA">
                <wp:simplePos x="0" y="0"/>
                <wp:positionH relativeFrom="column">
                  <wp:posOffset>-508000</wp:posOffset>
                </wp:positionH>
                <wp:positionV relativeFrom="line">
                  <wp:posOffset>0</wp:posOffset>
                </wp:positionV>
                <wp:extent cx="34290" cy="106680"/>
                <wp:effectExtent l="11430" t="5715" r="11430" b="11430"/>
                <wp:wrapNone/>
                <wp:docPr id="10869020" name="RAAnlGraf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BC458" id="RAAnlGraf4"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79F44EAF" w14:textId="76C5BEF0" w:rsidR="00CB30E6" w:rsidRDefault="00CB30E6" w:rsidP="00CB30E6">
      <w:pPr>
        <w:ind w:left="708"/>
      </w:pPr>
      <w:bookmarkStart w:id="11" w:name="AnlageString4"/>
      <w:r>
        <w:t>2021-03-23 - Schriftsatz Klägerin inkl. Anlagen</w:t>
      </w:r>
      <w:bookmarkStart w:id="12" w:name="RAAnlage4"/>
      <w:bookmarkEnd w:id="11"/>
      <w:r w:rsidR="004A5457" w:rsidRPr="004A5457">
        <w:t xml:space="preserve"> (Anl. 5)</w:t>
      </w:r>
      <w:bookmarkEnd w:id="12"/>
      <w:r w:rsidR="00AA2129">
        <w:rPr>
          <w:noProof/>
        </w:rPr>
        <mc:AlternateContent>
          <mc:Choice Requires="wps">
            <w:drawing>
              <wp:anchor distT="0" distB="0" distL="114300" distR="114300" simplePos="0" relativeHeight="251666432" behindDoc="0" locked="0" layoutInCell="1" allowOverlap="1" wp14:anchorId="7FA9EF7C" wp14:editId="626278EB">
                <wp:simplePos x="0" y="0"/>
                <wp:positionH relativeFrom="column">
                  <wp:posOffset>-508000</wp:posOffset>
                </wp:positionH>
                <wp:positionV relativeFrom="line">
                  <wp:posOffset>0</wp:posOffset>
                </wp:positionV>
                <wp:extent cx="34290" cy="106680"/>
                <wp:effectExtent l="11430" t="13970" r="11430" b="12700"/>
                <wp:wrapNone/>
                <wp:docPr id="1788363208" name="RAAnlGraf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F6BB74" id="RAAnlGraf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359B5D8C" w14:textId="292A608B" w:rsidR="00157F79" w:rsidRDefault="00CB30E6" w:rsidP="00CB30E6">
      <w:pPr>
        <w:ind w:left="708"/>
      </w:pPr>
      <w:bookmarkStart w:id="13" w:name="AnlageString5"/>
      <w:r>
        <w:t>2021-03-24 - Schriftsatz Beklagte inkl. Bescheid vom 19.3.2021</w:t>
      </w:r>
      <w:bookmarkStart w:id="14" w:name="RAAnlage5"/>
      <w:bookmarkEnd w:id="13"/>
      <w:r w:rsidR="004A5457" w:rsidRPr="004A5457">
        <w:t xml:space="preserve"> (Anl. 6)</w:t>
      </w:r>
      <w:bookmarkEnd w:id="14"/>
      <w:r w:rsidR="00AA2129">
        <w:rPr>
          <w:noProof/>
        </w:rPr>
        <mc:AlternateContent>
          <mc:Choice Requires="wps">
            <w:drawing>
              <wp:anchor distT="0" distB="0" distL="114300" distR="114300" simplePos="0" relativeHeight="251668480" behindDoc="0" locked="0" layoutInCell="1" allowOverlap="1" wp14:anchorId="1088D1E6" wp14:editId="5D4E8AA9">
                <wp:simplePos x="0" y="0"/>
                <wp:positionH relativeFrom="column">
                  <wp:posOffset>-508000</wp:posOffset>
                </wp:positionH>
                <wp:positionV relativeFrom="line">
                  <wp:posOffset>0</wp:posOffset>
                </wp:positionV>
                <wp:extent cx="34290" cy="106680"/>
                <wp:effectExtent l="11430" t="12700" r="11430" b="13970"/>
                <wp:wrapNone/>
                <wp:docPr id="1397294733" name="RAAnlGraf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0A23D" id="RAAnlGraf6"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3B0E89CF" w14:textId="5393020D" w:rsidR="00CB30E6" w:rsidRDefault="003C5EDC" w:rsidP="00CB30E6">
      <w:pPr>
        <w:ind w:left="708"/>
      </w:pPr>
      <w:bookmarkStart w:id="15" w:name="AnlageString6"/>
      <w:r>
        <w:t>2021-06-09 - Schriftsatz Beklagte inkl. div. Bescheide</w:t>
      </w:r>
      <w:bookmarkStart w:id="16" w:name="RAAnlage6"/>
      <w:bookmarkEnd w:id="15"/>
      <w:r w:rsidR="004A5457" w:rsidRPr="004A5457">
        <w:t xml:space="preserve"> (Anl. 7)</w:t>
      </w:r>
      <w:bookmarkEnd w:id="16"/>
      <w:r w:rsidR="00AA2129">
        <w:rPr>
          <w:noProof/>
        </w:rPr>
        <mc:AlternateContent>
          <mc:Choice Requires="wps">
            <w:drawing>
              <wp:anchor distT="0" distB="0" distL="114300" distR="114300" simplePos="0" relativeHeight="251670528" behindDoc="0" locked="0" layoutInCell="1" allowOverlap="1" wp14:anchorId="44788040" wp14:editId="66B89E05">
                <wp:simplePos x="0" y="0"/>
                <wp:positionH relativeFrom="column">
                  <wp:posOffset>-508000</wp:posOffset>
                </wp:positionH>
                <wp:positionV relativeFrom="line">
                  <wp:posOffset>0</wp:posOffset>
                </wp:positionV>
                <wp:extent cx="34290" cy="106680"/>
                <wp:effectExtent l="11430" t="11430" r="11430" b="5715"/>
                <wp:wrapNone/>
                <wp:docPr id="324415680" name="RAAnlGraf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B1C2C3" id="RAAnlGraf7"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49E3F0A1" w14:textId="56CC7B25" w:rsidR="00CB30E6" w:rsidRDefault="003C5EDC" w:rsidP="003C5EDC">
      <w:pPr>
        <w:ind w:left="708"/>
      </w:pPr>
      <w:bookmarkStart w:id="17" w:name="AnlageString7"/>
      <w:r>
        <w:t>2021-10-18 - Schriftsatz Klägerin inkl. Anlagen</w:t>
      </w:r>
      <w:bookmarkStart w:id="18" w:name="RAAnlage7"/>
      <w:bookmarkEnd w:id="17"/>
      <w:r w:rsidR="004A5457" w:rsidRPr="004A5457">
        <w:t xml:space="preserve"> (Anl. 8)</w:t>
      </w:r>
      <w:bookmarkEnd w:id="18"/>
      <w:r w:rsidR="00AA2129">
        <w:rPr>
          <w:noProof/>
        </w:rPr>
        <mc:AlternateContent>
          <mc:Choice Requires="wps">
            <w:drawing>
              <wp:anchor distT="0" distB="0" distL="114300" distR="114300" simplePos="0" relativeHeight="251672576" behindDoc="0" locked="0" layoutInCell="1" allowOverlap="1" wp14:anchorId="4AC75E07" wp14:editId="5ED2C495">
                <wp:simplePos x="0" y="0"/>
                <wp:positionH relativeFrom="column">
                  <wp:posOffset>-508000</wp:posOffset>
                </wp:positionH>
                <wp:positionV relativeFrom="line">
                  <wp:posOffset>0</wp:posOffset>
                </wp:positionV>
                <wp:extent cx="34290" cy="106680"/>
                <wp:effectExtent l="11430" t="10160" r="11430" b="6985"/>
                <wp:wrapNone/>
                <wp:docPr id="523533677" name="RAAnlGraf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CC78" id="RAAnlGraf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50A64BDE" w14:textId="35ADEF0F" w:rsidR="00CB30E6" w:rsidRDefault="003C5EDC" w:rsidP="003C5EDC">
      <w:pPr>
        <w:ind w:left="708"/>
      </w:pPr>
      <w:bookmarkStart w:id="19" w:name="AnlageString8"/>
      <w:r>
        <w:t>2021-11-17 - Schriftsatz Beklagte inkl. Anlagen</w:t>
      </w:r>
      <w:bookmarkStart w:id="20" w:name="RAAnlage8"/>
      <w:bookmarkEnd w:id="19"/>
      <w:r w:rsidR="004A5457" w:rsidRPr="004A5457">
        <w:t xml:space="preserve"> (Anl. 9)</w:t>
      </w:r>
      <w:bookmarkEnd w:id="20"/>
      <w:r w:rsidR="00AA2129">
        <w:rPr>
          <w:noProof/>
        </w:rPr>
        <mc:AlternateContent>
          <mc:Choice Requires="wps">
            <w:drawing>
              <wp:anchor distT="0" distB="0" distL="114300" distR="114300" simplePos="0" relativeHeight="251674624" behindDoc="0" locked="0" layoutInCell="1" allowOverlap="1" wp14:anchorId="57678E9C" wp14:editId="4CF387CF">
                <wp:simplePos x="0" y="0"/>
                <wp:positionH relativeFrom="column">
                  <wp:posOffset>-508000</wp:posOffset>
                </wp:positionH>
                <wp:positionV relativeFrom="line">
                  <wp:posOffset>0</wp:posOffset>
                </wp:positionV>
                <wp:extent cx="34290" cy="106680"/>
                <wp:effectExtent l="11430" t="8255" r="11430" b="8890"/>
                <wp:wrapNone/>
                <wp:docPr id="930264406" name="RAAnlGraf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A04F1B" id="RAAnlGraf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2B9EAC99" w14:textId="4231833E" w:rsidR="006B0E11" w:rsidRDefault="006B0E11" w:rsidP="003C5EDC">
      <w:pPr>
        <w:ind w:left="708"/>
      </w:pPr>
      <w:bookmarkStart w:id="21" w:name="AnlageString20"/>
      <w:bookmarkStart w:id="22" w:name="AnlageString9"/>
      <w:r>
        <w:t>2022-07-07 - Hinweis und Verfügung des BVerwG</w:t>
      </w:r>
      <w:bookmarkStart w:id="23" w:name="RAAnlage20"/>
      <w:bookmarkEnd w:id="21"/>
      <w:r w:rsidR="004A5457" w:rsidRPr="004A5457">
        <w:t xml:space="preserve"> (Anl. 11)</w:t>
      </w:r>
      <w:bookmarkEnd w:id="23"/>
      <w:r w:rsidR="00AA2129">
        <w:rPr>
          <w:noProof/>
        </w:rPr>
        <mc:AlternateContent>
          <mc:Choice Requires="wps">
            <w:drawing>
              <wp:anchor distT="0" distB="0" distL="114300" distR="114300" simplePos="0" relativeHeight="251699200" behindDoc="0" locked="0" layoutInCell="1" allowOverlap="1" wp14:anchorId="4076D3E4" wp14:editId="609B55A5">
                <wp:simplePos x="0" y="0"/>
                <wp:positionH relativeFrom="column">
                  <wp:posOffset>-546100</wp:posOffset>
                </wp:positionH>
                <wp:positionV relativeFrom="line">
                  <wp:posOffset>0</wp:posOffset>
                </wp:positionV>
                <wp:extent cx="34290" cy="106680"/>
                <wp:effectExtent l="11430" t="6985" r="11430" b="10160"/>
                <wp:wrapNone/>
                <wp:docPr id="588007169" name="RAAnlGraf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BB70E" id="RAAnlGraf21"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3pt,0" to="-40.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">
                <w10:wrap anchory="line"/>
              </v:line>
            </w:pict>
          </mc:Fallback>
        </mc:AlternateContent>
      </w:r>
    </w:p>
    <w:p w14:paraId="334542B9" w14:textId="03605944" w:rsidR="006B0E11" w:rsidRDefault="006B0E11" w:rsidP="003C5EDC">
      <w:pPr>
        <w:ind w:left="708"/>
      </w:pPr>
      <w:bookmarkStart w:id="24" w:name="AnlageString21"/>
      <w:r>
        <w:t>2022-09-26 - Schriftsatz Klägerin (Teilerledigung)</w:t>
      </w:r>
      <w:bookmarkStart w:id="25" w:name="RAAnlage21"/>
      <w:bookmarkEnd w:id="24"/>
      <w:r w:rsidR="004A5457" w:rsidRPr="004A5457">
        <w:t xml:space="preserve"> (Anl. 12)</w:t>
      </w:r>
      <w:bookmarkEnd w:id="25"/>
      <w:r w:rsidRPr="006B0E11">
        <w:rPr>
          <w:noProof/>
        </w:rPr>
        <w:t xml:space="preserve"> </w:t>
      </w:r>
      <w:r w:rsidR="00AA2129">
        <w:rPr>
          <w:noProof/>
        </w:rPr>
        <mc:AlternateContent>
          <mc:Choice Requires="wps">
            <w:drawing>
              <wp:anchor distT="0" distB="0" distL="114300" distR="114300" simplePos="0" relativeHeight="251701248" behindDoc="0" locked="0" layoutInCell="1" allowOverlap="1" wp14:anchorId="163A261E" wp14:editId="4B93E260">
                <wp:simplePos x="0" y="0"/>
                <wp:positionH relativeFrom="column">
                  <wp:posOffset>-546100</wp:posOffset>
                </wp:positionH>
                <wp:positionV relativeFrom="line">
                  <wp:posOffset>0</wp:posOffset>
                </wp:positionV>
                <wp:extent cx="34290" cy="106680"/>
                <wp:effectExtent l="11430" t="5715" r="11430" b="11430"/>
                <wp:wrapNone/>
                <wp:docPr id="277728916" name="RAAnlGraf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646C74" id="RAAnlGraf22"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3pt,0" to="-40.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">
                <w10:wrap anchory="line"/>
              </v:line>
            </w:pict>
          </mc:Fallback>
        </mc:AlternateContent>
      </w:r>
    </w:p>
    <w:p w14:paraId="5D64111D" w14:textId="346C49CD" w:rsidR="006B0E11" w:rsidRDefault="006B0E11" w:rsidP="003C5EDC">
      <w:pPr>
        <w:ind w:left="708"/>
      </w:pPr>
      <w:bookmarkStart w:id="26" w:name="AnlageString22"/>
      <w:r>
        <w:t>2022-11-03 - Schriftsatz Beklagte</w:t>
      </w:r>
      <w:bookmarkStart w:id="27" w:name="RAAnlage22"/>
      <w:bookmarkEnd w:id="26"/>
      <w:r w:rsidR="004A5457" w:rsidRPr="004A5457">
        <w:t xml:space="preserve"> (Anl. 13)</w:t>
      </w:r>
      <w:bookmarkEnd w:id="27"/>
      <w:r w:rsidR="00AA2129">
        <w:rPr>
          <w:noProof/>
        </w:rPr>
        <mc:AlternateContent>
          <mc:Choice Requires="wps">
            <w:drawing>
              <wp:anchor distT="0" distB="0" distL="114300" distR="114300" simplePos="0" relativeHeight="251703296" behindDoc="0" locked="0" layoutInCell="1" allowOverlap="1" wp14:anchorId="289E8F9C" wp14:editId="0F25B3B8">
                <wp:simplePos x="0" y="0"/>
                <wp:positionH relativeFrom="column">
                  <wp:posOffset>-546100</wp:posOffset>
                </wp:positionH>
                <wp:positionV relativeFrom="line">
                  <wp:posOffset>0</wp:posOffset>
                </wp:positionV>
                <wp:extent cx="34290" cy="106680"/>
                <wp:effectExtent l="11430" t="13970" r="11430" b="12700"/>
                <wp:wrapNone/>
                <wp:docPr id="374854139" name="RAAnlGraf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FAE33A" id="RAAnlGraf23" o:spid="_x0000_s1026" style="position:absolute;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3pt,0" to="-40.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">
                <w10:wrap anchory="line"/>
              </v:line>
            </w:pict>
          </mc:Fallback>
        </mc:AlternateContent>
      </w:r>
    </w:p>
    <w:p w14:paraId="30EB8AF5" w14:textId="275C7EA6" w:rsidR="006B0E11" w:rsidRDefault="006B0E11" w:rsidP="003C5EDC">
      <w:pPr>
        <w:ind w:left="708"/>
      </w:pPr>
      <w:bookmarkStart w:id="28" w:name="AnlageString23"/>
      <w:r>
        <w:t>2022-11-17 - BVerwG Hinweis</w:t>
      </w:r>
      <w:bookmarkStart w:id="29" w:name="RAAnlage23"/>
      <w:bookmarkEnd w:id="28"/>
      <w:r w:rsidR="004A5457" w:rsidRPr="004A5457">
        <w:t xml:space="preserve"> (Anl. 14)</w:t>
      </w:r>
      <w:bookmarkEnd w:id="29"/>
      <w:r w:rsidR="00AA2129">
        <w:rPr>
          <w:noProof/>
        </w:rPr>
        <mc:AlternateContent>
          <mc:Choice Requires="wps">
            <w:drawing>
              <wp:anchor distT="0" distB="0" distL="114300" distR="114300" simplePos="0" relativeHeight="251705344" behindDoc="0" locked="0" layoutInCell="1" allowOverlap="1" wp14:anchorId="6295BDA3" wp14:editId="0FCC3010">
                <wp:simplePos x="0" y="0"/>
                <wp:positionH relativeFrom="column">
                  <wp:posOffset>-546100</wp:posOffset>
                </wp:positionH>
                <wp:positionV relativeFrom="line">
                  <wp:posOffset>0</wp:posOffset>
                </wp:positionV>
                <wp:extent cx="34290" cy="106680"/>
                <wp:effectExtent l="11430" t="12700" r="11430" b="13970"/>
                <wp:wrapNone/>
                <wp:docPr id="2143594899" name="RAAnlGraf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14610" id="RAAnlGraf24"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3pt,0" to="-40.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">
                <w10:wrap anchory="line"/>
              </v:line>
            </w:pict>
          </mc:Fallback>
        </mc:AlternateContent>
      </w:r>
    </w:p>
    <w:p w14:paraId="01AFF088" w14:textId="65867877" w:rsidR="003C5EDC" w:rsidRDefault="008E31C6" w:rsidP="003C5EDC">
      <w:pPr>
        <w:ind w:left="708"/>
      </w:pPr>
      <w:r>
        <w:t>2022-12-02 - Schriftsatz Klägerin (Teilerledigung, neue Antragsfassung)</w:t>
      </w:r>
      <w:bookmarkStart w:id="30" w:name="RAAnlage9"/>
      <w:bookmarkEnd w:id="22"/>
      <w:r w:rsidR="004A5457" w:rsidRPr="004A5457">
        <w:t xml:space="preserve"> (Anl. 10)</w:t>
      </w:r>
      <w:bookmarkEnd w:id="30"/>
      <w:r w:rsidRPr="008E31C6">
        <w:rPr>
          <w:noProof/>
        </w:rPr>
        <w:t xml:space="preserve"> </w:t>
      </w:r>
      <w:r w:rsidR="00AA2129">
        <w:rPr>
          <w:noProof/>
        </w:rPr>
        <mc:AlternateContent>
          <mc:Choice Requires="wps">
            <w:drawing>
              <wp:anchor distT="0" distB="0" distL="114300" distR="114300" simplePos="0" relativeHeight="251676672" behindDoc="0" locked="0" layoutInCell="1" allowOverlap="1" wp14:anchorId="0B9554F3" wp14:editId="34BD843A">
                <wp:simplePos x="0" y="0"/>
                <wp:positionH relativeFrom="column">
                  <wp:posOffset>-508000</wp:posOffset>
                </wp:positionH>
                <wp:positionV relativeFrom="line">
                  <wp:posOffset>0</wp:posOffset>
                </wp:positionV>
                <wp:extent cx="34290" cy="106680"/>
                <wp:effectExtent l="11430" t="10795" r="11430" b="6350"/>
                <wp:wrapNone/>
                <wp:docPr id="1455742841" name="RAAnlGraf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A645A" id="RAAnlGraf1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240BBFF9" w14:textId="62D99861" w:rsidR="003C5EDC" w:rsidRDefault="00FC056E" w:rsidP="003C5EDC">
      <w:pPr>
        <w:ind w:left="708"/>
      </w:pPr>
      <w:bookmarkStart w:id="31" w:name="AnlageString10"/>
      <w:r>
        <w:t>2023-01-18 - BVerwG Mitteilung neues Az.</w:t>
      </w:r>
      <w:bookmarkStart w:id="32" w:name="RAAnlage10"/>
      <w:bookmarkEnd w:id="31"/>
      <w:r w:rsidR="004A5457" w:rsidRPr="004A5457">
        <w:t xml:space="preserve"> (Anl. 15)</w:t>
      </w:r>
      <w:bookmarkEnd w:id="32"/>
      <w:r w:rsidRPr="00FC056E">
        <w:rPr>
          <w:noProof/>
        </w:rPr>
        <w:t xml:space="preserve"> </w:t>
      </w:r>
      <w:r w:rsidR="00AA2129">
        <w:rPr>
          <w:noProof/>
        </w:rPr>
        <mc:AlternateContent>
          <mc:Choice Requires="wps">
            <w:drawing>
              <wp:anchor distT="0" distB="0" distL="114300" distR="114300" simplePos="0" relativeHeight="251678720" behindDoc="0" locked="0" layoutInCell="1" allowOverlap="1" wp14:anchorId="37CE27C2" wp14:editId="5282112C">
                <wp:simplePos x="0" y="0"/>
                <wp:positionH relativeFrom="column">
                  <wp:posOffset>-508000</wp:posOffset>
                </wp:positionH>
                <wp:positionV relativeFrom="line">
                  <wp:posOffset>0</wp:posOffset>
                </wp:positionV>
                <wp:extent cx="34290" cy="106680"/>
                <wp:effectExtent l="11430" t="9525" r="11430" b="7620"/>
                <wp:wrapNone/>
                <wp:docPr id="1938318027" name="RAAnlGraf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52DF4" id="RAAnlGraf1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6312501B" w14:textId="5EE724B3" w:rsidR="003C5EDC" w:rsidRDefault="00FC056E" w:rsidP="003C5EDC">
      <w:pPr>
        <w:ind w:left="708"/>
      </w:pPr>
      <w:bookmarkStart w:id="33" w:name="AnlageString11"/>
      <w:r>
        <w:t>2023-04-28 - BVerwG Beschluss über Aktenvorlage nach § 99 VwGO</w:t>
      </w:r>
      <w:bookmarkStart w:id="34" w:name="RAAnlage11"/>
      <w:bookmarkEnd w:id="33"/>
      <w:r w:rsidR="004A5457" w:rsidRPr="004A5457">
        <w:t xml:space="preserve"> (Anl. 16)</w:t>
      </w:r>
      <w:bookmarkEnd w:id="34"/>
      <w:r w:rsidR="00AA2129">
        <w:rPr>
          <w:noProof/>
        </w:rPr>
        <mc:AlternateContent>
          <mc:Choice Requires="wps">
            <w:drawing>
              <wp:anchor distT="0" distB="0" distL="114300" distR="114300" simplePos="0" relativeHeight="251680768" behindDoc="0" locked="0" layoutInCell="1" allowOverlap="1" wp14:anchorId="06568748" wp14:editId="27AE25A6">
                <wp:simplePos x="0" y="0"/>
                <wp:positionH relativeFrom="column">
                  <wp:posOffset>-508000</wp:posOffset>
                </wp:positionH>
                <wp:positionV relativeFrom="line">
                  <wp:posOffset>0</wp:posOffset>
                </wp:positionV>
                <wp:extent cx="34290" cy="106680"/>
                <wp:effectExtent l="11430" t="8255" r="11430" b="8890"/>
                <wp:wrapNone/>
                <wp:docPr id="1757771665" name="RAAnlGraf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FEDB61" id="RAAnlGraf1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748EC6BF" w14:textId="42C02BB6" w:rsidR="003C5EDC" w:rsidRDefault="00FC056E" w:rsidP="003C5EDC">
      <w:pPr>
        <w:ind w:left="708"/>
      </w:pPr>
      <w:bookmarkStart w:id="35" w:name="AnlageString12"/>
      <w:r>
        <w:t>2023-07-03 - Sperrerklärung der Beklagten inkl. Anlagen</w:t>
      </w:r>
      <w:bookmarkStart w:id="36" w:name="RAAnlage12"/>
      <w:bookmarkEnd w:id="35"/>
      <w:r w:rsidR="004A5457" w:rsidRPr="004A5457">
        <w:t xml:space="preserve"> (Anl. 17)</w:t>
      </w:r>
      <w:bookmarkEnd w:id="36"/>
      <w:r w:rsidR="00AA2129">
        <w:rPr>
          <w:noProof/>
        </w:rPr>
        <mc:AlternateContent>
          <mc:Choice Requires="wps">
            <w:drawing>
              <wp:anchor distT="0" distB="0" distL="114300" distR="114300" simplePos="0" relativeHeight="251682816" behindDoc="0" locked="0" layoutInCell="1" allowOverlap="1" wp14:anchorId="4C19CBAE" wp14:editId="4528A148">
                <wp:simplePos x="0" y="0"/>
                <wp:positionH relativeFrom="column">
                  <wp:posOffset>-508000</wp:posOffset>
                </wp:positionH>
                <wp:positionV relativeFrom="line">
                  <wp:posOffset>0</wp:posOffset>
                </wp:positionV>
                <wp:extent cx="34290" cy="106680"/>
                <wp:effectExtent l="11430" t="6985" r="11430" b="10160"/>
                <wp:wrapNone/>
                <wp:docPr id="863126733" name="RAAnlGraf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F92836" id="RAAnlGraf13"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48D3DD43" w14:textId="4C2A1388" w:rsidR="003C5EDC" w:rsidRDefault="00FC056E" w:rsidP="003C5EDC">
      <w:pPr>
        <w:ind w:left="708"/>
      </w:pPr>
      <w:bookmarkStart w:id="37" w:name="AnlageString13"/>
      <w:r>
        <w:lastRenderedPageBreak/>
        <w:t>2023-07-27 - Schriftsatz Klägerin - Antrag in-camera-Verfahren</w:t>
      </w:r>
      <w:bookmarkStart w:id="38" w:name="RAAnlage13"/>
      <w:bookmarkEnd w:id="37"/>
      <w:r w:rsidR="004A5457" w:rsidRPr="004A5457">
        <w:t xml:space="preserve"> (Anl. 18)</w:t>
      </w:r>
      <w:bookmarkEnd w:id="38"/>
      <w:r w:rsidR="00AA2129">
        <w:rPr>
          <w:noProof/>
        </w:rPr>
        <mc:AlternateContent>
          <mc:Choice Requires="wps">
            <w:drawing>
              <wp:anchor distT="0" distB="0" distL="114300" distR="114300" simplePos="0" relativeHeight="251684864" behindDoc="0" locked="0" layoutInCell="1" allowOverlap="1" wp14:anchorId="57D11DA1" wp14:editId="4C1B3E19">
                <wp:simplePos x="0" y="0"/>
                <wp:positionH relativeFrom="column">
                  <wp:posOffset>-508000</wp:posOffset>
                </wp:positionH>
                <wp:positionV relativeFrom="line">
                  <wp:posOffset>0</wp:posOffset>
                </wp:positionV>
                <wp:extent cx="34290" cy="106680"/>
                <wp:effectExtent l="11430" t="6985" r="11430" b="10160"/>
                <wp:wrapNone/>
                <wp:docPr id="1141133552" name="RAAnlGraf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2A4107" id="RAAnlGraf14"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56281394" w14:textId="0395CF42" w:rsidR="003C5EDC" w:rsidRDefault="00FC056E" w:rsidP="003C5EDC">
      <w:pPr>
        <w:ind w:left="708"/>
      </w:pPr>
      <w:bookmarkStart w:id="39" w:name="AnlageString14"/>
      <w:r>
        <w:t>2023-09-07 - BVerwG Abgabe an den Fachsenat</w:t>
      </w:r>
      <w:bookmarkStart w:id="40" w:name="RAAnlage14"/>
      <w:bookmarkEnd w:id="39"/>
      <w:r w:rsidR="004A5457" w:rsidRPr="004A5457">
        <w:t xml:space="preserve"> (Anl. 19)</w:t>
      </w:r>
      <w:bookmarkEnd w:id="40"/>
      <w:r w:rsidR="00AA2129">
        <w:rPr>
          <w:noProof/>
        </w:rPr>
        <mc:AlternateContent>
          <mc:Choice Requires="wps">
            <w:drawing>
              <wp:anchor distT="0" distB="0" distL="114300" distR="114300" simplePos="0" relativeHeight="251686912" behindDoc="0" locked="0" layoutInCell="1" allowOverlap="1" wp14:anchorId="2598C6A3" wp14:editId="7E259A1A">
                <wp:simplePos x="0" y="0"/>
                <wp:positionH relativeFrom="column">
                  <wp:posOffset>-508000</wp:posOffset>
                </wp:positionH>
                <wp:positionV relativeFrom="line">
                  <wp:posOffset>0</wp:posOffset>
                </wp:positionV>
                <wp:extent cx="34290" cy="106680"/>
                <wp:effectExtent l="11430" t="5715" r="11430" b="11430"/>
                <wp:wrapNone/>
                <wp:docPr id="1436959266" name="RAAnlGraf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6E599" id="RAAnlGraf15"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11C78019" w14:textId="6CD0E149" w:rsidR="003C5EDC" w:rsidRDefault="00977354" w:rsidP="003C5EDC">
      <w:pPr>
        <w:ind w:left="708"/>
      </w:pPr>
      <w:bookmarkStart w:id="41" w:name="AnlageString15"/>
      <w:r>
        <w:t>2025-02-06 - Beschluss des Fachsenats</w:t>
      </w:r>
      <w:bookmarkStart w:id="42" w:name="RAAnlage15"/>
      <w:bookmarkEnd w:id="41"/>
      <w:r w:rsidR="004A5457" w:rsidRPr="004A5457">
        <w:t xml:space="preserve"> (Anl. 20)</w:t>
      </w:r>
      <w:bookmarkEnd w:id="42"/>
      <w:r w:rsidR="00AA2129">
        <w:rPr>
          <w:noProof/>
        </w:rPr>
        <mc:AlternateContent>
          <mc:Choice Requires="wps">
            <w:drawing>
              <wp:anchor distT="0" distB="0" distL="114300" distR="114300" simplePos="0" relativeHeight="251688960" behindDoc="0" locked="0" layoutInCell="1" allowOverlap="1" wp14:anchorId="01E5F23A" wp14:editId="2BDD88AB">
                <wp:simplePos x="0" y="0"/>
                <wp:positionH relativeFrom="column">
                  <wp:posOffset>-508000</wp:posOffset>
                </wp:positionH>
                <wp:positionV relativeFrom="line">
                  <wp:posOffset>0</wp:posOffset>
                </wp:positionV>
                <wp:extent cx="34290" cy="106680"/>
                <wp:effectExtent l="11430" t="13970" r="11430" b="12700"/>
                <wp:wrapNone/>
                <wp:docPr id="580118857" name="RAAnlGraf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1C034" id="RAAnlGraf16"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23F6BDE9" w14:textId="6300729B" w:rsidR="003C5EDC" w:rsidRDefault="00977354" w:rsidP="003C5EDC">
      <w:pPr>
        <w:ind w:left="708"/>
      </w:pPr>
      <w:bookmarkStart w:id="43" w:name="AnlageString16"/>
      <w:r>
        <w:t>2025-04-03 - BVerwG Mitteilung neues Az</w:t>
      </w:r>
      <w:bookmarkStart w:id="44" w:name="RAAnlage16"/>
      <w:bookmarkEnd w:id="43"/>
      <w:r w:rsidR="004A5457" w:rsidRPr="004A5457">
        <w:t xml:space="preserve"> (Anl. 21)</w:t>
      </w:r>
      <w:bookmarkEnd w:id="44"/>
      <w:r w:rsidR="00AA2129">
        <w:rPr>
          <w:noProof/>
        </w:rPr>
        <mc:AlternateContent>
          <mc:Choice Requires="wps">
            <w:drawing>
              <wp:anchor distT="0" distB="0" distL="114300" distR="114300" simplePos="0" relativeHeight="251691008" behindDoc="0" locked="0" layoutInCell="1" allowOverlap="1" wp14:anchorId="3B1581F2" wp14:editId="50C2FA12">
                <wp:simplePos x="0" y="0"/>
                <wp:positionH relativeFrom="column">
                  <wp:posOffset>-508000</wp:posOffset>
                </wp:positionH>
                <wp:positionV relativeFrom="line">
                  <wp:posOffset>0</wp:posOffset>
                </wp:positionV>
                <wp:extent cx="34290" cy="106680"/>
                <wp:effectExtent l="11430" t="12065" r="11430" b="5080"/>
                <wp:wrapNone/>
                <wp:docPr id="1314367307" name="RAAnlGraf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C831D9" id="RAAnlGraf17"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79FD94ED" w14:textId="6A87C15F" w:rsidR="003C5EDC" w:rsidRDefault="00977354" w:rsidP="003C5EDC">
      <w:pPr>
        <w:ind w:left="708"/>
      </w:pPr>
      <w:bookmarkStart w:id="45" w:name="AnlageString17"/>
      <w:r>
        <w:t>2026-05-04 - BVerwG Hinweis zum Antragsgegenstand, Bitte um Klarstellung</w:t>
      </w:r>
      <w:bookmarkStart w:id="46" w:name="RAAnlage17"/>
      <w:bookmarkEnd w:id="45"/>
      <w:r w:rsidR="004A5457" w:rsidRPr="004A5457">
        <w:t xml:space="preserve"> (Anl. 22)</w:t>
      </w:r>
      <w:bookmarkEnd w:id="46"/>
      <w:r w:rsidR="00AA2129">
        <w:rPr>
          <w:noProof/>
        </w:rPr>
        <mc:AlternateContent>
          <mc:Choice Requires="wps">
            <w:drawing>
              <wp:anchor distT="0" distB="0" distL="114300" distR="114300" simplePos="0" relativeHeight="251693056" behindDoc="0" locked="0" layoutInCell="1" allowOverlap="1" wp14:anchorId="2EC15F5C" wp14:editId="1EDB9FA2">
                <wp:simplePos x="0" y="0"/>
                <wp:positionH relativeFrom="column">
                  <wp:posOffset>-508000</wp:posOffset>
                </wp:positionH>
                <wp:positionV relativeFrom="line">
                  <wp:posOffset>0</wp:posOffset>
                </wp:positionV>
                <wp:extent cx="34290" cy="106680"/>
                <wp:effectExtent l="11430" t="10795" r="11430" b="6350"/>
                <wp:wrapNone/>
                <wp:docPr id="198427192" name="RAAnlGraf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E3CF75" id="RAAnlGraf18"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1768DDD9" w14:textId="46D9D06C" w:rsidR="003C5EDC" w:rsidRDefault="00977354" w:rsidP="003C5EDC">
      <w:pPr>
        <w:ind w:left="708"/>
      </w:pPr>
      <w:bookmarkStart w:id="47" w:name="AnlageString18"/>
      <w:r>
        <w:t>2026-05-19 - Schriftsatz Klägerin zu Anträgen</w:t>
      </w:r>
      <w:bookmarkStart w:id="48" w:name="RAAnlage18"/>
      <w:bookmarkEnd w:id="47"/>
      <w:r w:rsidR="004A5457" w:rsidRPr="004A5457">
        <w:t xml:space="preserve"> (Anl. 23)</w:t>
      </w:r>
      <w:bookmarkEnd w:id="48"/>
      <w:r w:rsidR="00AA2129">
        <w:rPr>
          <w:noProof/>
        </w:rPr>
        <mc:AlternateContent>
          <mc:Choice Requires="wps">
            <w:drawing>
              <wp:anchor distT="0" distB="0" distL="114300" distR="114300" simplePos="0" relativeHeight="251695104" behindDoc="0" locked="0" layoutInCell="1" allowOverlap="1" wp14:anchorId="70008C07" wp14:editId="1F48CC7E">
                <wp:simplePos x="0" y="0"/>
                <wp:positionH relativeFrom="column">
                  <wp:posOffset>-508000</wp:posOffset>
                </wp:positionH>
                <wp:positionV relativeFrom="line">
                  <wp:posOffset>0</wp:posOffset>
                </wp:positionV>
                <wp:extent cx="34290" cy="106680"/>
                <wp:effectExtent l="11430" t="9525" r="11430" b="7620"/>
                <wp:wrapNone/>
                <wp:docPr id="1365417839" name="RAAnlGraf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16BCE" id="RAAnlGraf19"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7ACE53E5" w14:textId="25A76278" w:rsidR="00436EDA" w:rsidRDefault="00436EDA" w:rsidP="006B0E11">
      <w:pPr>
        <w:ind w:left="708"/>
      </w:pPr>
      <w:bookmarkStart w:id="49" w:name="AnlageString31"/>
      <w:bookmarkStart w:id="50" w:name="AnlageString24"/>
      <w:r>
        <w:t>2026-05-21 - Schriftsatz Klägerin inkl. Anlagen</w:t>
      </w:r>
      <w:bookmarkStart w:id="51" w:name="RAAnlage31"/>
      <w:bookmarkEnd w:id="49"/>
      <w:r w:rsidRPr="00436EDA">
        <w:t xml:space="preserve"> (Anl. 24)</w:t>
      </w:r>
      <w:bookmarkEnd w:id="51"/>
      <w:r w:rsidR="00AA2129">
        <w:rPr>
          <w:noProof/>
        </w:rPr>
        <mc:AlternateContent>
          <mc:Choice Requires="wps">
            <w:drawing>
              <wp:anchor distT="0" distB="0" distL="114300" distR="114300" simplePos="0" relativeHeight="251721728" behindDoc="0" locked="0" layoutInCell="1" allowOverlap="1" wp14:anchorId="4D56A735" wp14:editId="6FA8468C">
                <wp:simplePos x="0" y="0"/>
                <wp:positionH relativeFrom="column">
                  <wp:posOffset>-546100</wp:posOffset>
                </wp:positionH>
                <wp:positionV relativeFrom="line">
                  <wp:posOffset>0</wp:posOffset>
                </wp:positionV>
                <wp:extent cx="34290" cy="106680"/>
                <wp:effectExtent l="11430" t="8255" r="11430" b="8890"/>
                <wp:wrapNone/>
                <wp:docPr id="530543535" name="RAAnlGraf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E5A765" id="RAAnlGraf3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3pt,0" to="-40.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">
                <w10:wrap anchory="line"/>
              </v:line>
            </w:pict>
          </mc:Fallback>
        </mc:AlternateContent>
      </w:r>
    </w:p>
    <w:p w14:paraId="7D22822A" w14:textId="1EBD8B9C" w:rsidR="003C5EDC" w:rsidRDefault="006B0E11" w:rsidP="006B0E11">
      <w:pPr>
        <w:ind w:left="708"/>
      </w:pPr>
      <w:r>
        <w:t xml:space="preserve">2026-06-04 </w:t>
      </w:r>
      <w:r w:rsidR="004A5457">
        <w:t xml:space="preserve">- </w:t>
      </w:r>
      <w:r>
        <w:t>Verhandlungsprotokoll</w:t>
      </w:r>
      <w:bookmarkStart w:id="52" w:name="RAAnlage24"/>
      <w:bookmarkEnd w:id="50"/>
      <w:r w:rsidR="004A5457" w:rsidRPr="004A5457">
        <w:t xml:space="preserve"> (Anl. 25) </w:t>
      </w:r>
      <w:bookmarkEnd w:id="52"/>
      <w:r w:rsidR="00AA2129">
        <w:rPr>
          <w:noProof/>
        </w:rPr>
        <mc:AlternateContent>
          <mc:Choice Requires="wps">
            <w:drawing>
              <wp:anchor distT="0" distB="0" distL="114300" distR="114300" simplePos="0" relativeHeight="251707392" behindDoc="0" locked="0" layoutInCell="1" allowOverlap="1" wp14:anchorId="78547BFF" wp14:editId="6F86BAEA">
                <wp:simplePos x="0" y="0"/>
                <wp:positionH relativeFrom="column">
                  <wp:posOffset>-508000</wp:posOffset>
                </wp:positionH>
                <wp:positionV relativeFrom="line">
                  <wp:posOffset>0</wp:posOffset>
                </wp:positionV>
                <wp:extent cx="34290" cy="106680"/>
                <wp:effectExtent l="11430" t="6985" r="11430" b="10160"/>
                <wp:wrapNone/>
                <wp:docPr id="1293915323" name="RAAnlGraf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598AE" id="RAAnlGraf25" o:spid="_x0000_s1026" style="position:absolute;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06719053" w14:textId="37801ADF" w:rsidR="003C5EDC" w:rsidRDefault="004A5457" w:rsidP="006B0E11">
      <w:pPr>
        <w:ind w:left="708"/>
      </w:pPr>
      <w:bookmarkStart w:id="53" w:name="AnlageString26"/>
      <w:r>
        <w:t>2026-06-04 - Urteil 10 A 2.25</w:t>
      </w:r>
      <w:bookmarkStart w:id="54" w:name="RAAnlage26"/>
      <w:bookmarkEnd w:id="53"/>
      <w:r w:rsidRPr="004A5457">
        <w:t xml:space="preserve"> (Anl. 26)</w:t>
      </w:r>
      <w:bookmarkEnd w:id="54"/>
      <w:r w:rsidR="00AA2129">
        <w:rPr>
          <w:noProof/>
        </w:rPr>
        <mc:AlternateContent>
          <mc:Choice Requires="wps">
            <w:drawing>
              <wp:anchor distT="0" distB="0" distL="114300" distR="114300" simplePos="0" relativeHeight="251711488" behindDoc="0" locked="0" layoutInCell="1" allowOverlap="1" wp14:anchorId="1301372F" wp14:editId="0D7408BE">
                <wp:simplePos x="0" y="0"/>
                <wp:positionH relativeFrom="column">
                  <wp:posOffset>-508000</wp:posOffset>
                </wp:positionH>
                <wp:positionV relativeFrom="line">
                  <wp:posOffset>0</wp:posOffset>
                </wp:positionV>
                <wp:extent cx="34290" cy="106680"/>
                <wp:effectExtent l="11430" t="5715" r="11430" b="11430"/>
                <wp:wrapNone/>
                <wp:docPr id="55999085" name="RAAnlGraf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862E5" id="RAAnlGraf27" o:spid="_x0000_s1026" style="position:absolute;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1CD65CE7" w14:textId="0116FA12" w:rsidR="006B0E11" w:rsidRDefault="004A5457" w:rsidP="006B0E11">
      <w:pPr>
        <w:ind w:left="708"/>
      </w:pPr>
      <w:bookmarkStart w:id="55" w:name="AnlageString27"/>
      <w:r>
        <w:t>2026-07-22 - Übersendungsschreiben BVerwG für Urteil vom 4.6.2026</w:t>
      </w:r>
      <w:bookmarkStart w:id="56" w:name="RAAnlage27"/>
      <w:bookmarkEnd w:id="55"/>
      <w:r w:rsidRPr="004A5457">
        <w:t xml:space="preserve"> (Anl. 27)</w:t>
      </w:r>
      <w:bookmarkEnd w:id="56"/>
      <w:r w:rsidR="00AA2129">
        <w:rPr>
          <w:noProof/>
        </w:rPr>
        <mc:AlternateContent>
          <mc:Choice Requires="wps">
            <w:drawing>
              <wp:anchor distT="0" distB="0" distL="114300" distR="114300" simplePos="0" relativeHeight="251713536" behindDoc="0" locked="0" layoutInCell="1" allowOverlap="1" wp14:anchorId="174E683E" wp14:editId="22C88159">
                <wp:simplePos x="0" y="0"/>
                <wp:positionH relativeFrom="column">
                  <wp:posOffset>-508000</wp:posOffset>
                </wp:positionH>
                <wp:positionV relativeFrom="line">
                  <wp:posOffset>0</wp:posOffset>
                </wp:positionV>
                <wp:extent cx="34290" cy="106680"/>
                <wp:effectExtent l="11430" t="13335" r="11430" b="13335"/>
                <wp:wrapNone/>
                <wp:docPr id="1956947588" name="RAAnlGraf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2865B" id="RAAnlGraf28" o:spid="_x0000_s1026" style="position:absolute;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057F92D4" w14:textId="258CAF81" w:rsidR="003C5EDC" w:rsidRDefault="004A5457" w:rsidP="003C5EDC">
      <w:r>
        <w:t>Der Vollständigkeit halber fügen wir auch die Gerichtsakte (Stand 2. Juni 2026) und den Verwaltungsvorgang bei:</w:t>
      </w:r>
    </w:p>
    <w:p w14:paraId="20A389A2" w14:textId="5124A2CA" w:rsidR="004A5457" w:rsidRDefault="004A5457" w:rsidP="004A5457">
      <w:pPr>
        <w:ind w:left="708"/>
      </w:pPr>
      <w:bookmarkStart w:id="57" w:name="AnlageString29"/>
      <w:r>
        <w:t>Gerichtsakte, Stand 2.6.2026</w:t>
      </w:r>
      <w:bookmarkStart w:id="58" w:name="RAAnlage29"/>
      <w:bookmarkEnd w:id="57"/>
      <w:r w:rsidRPr="004A5457">
        <w:t xml:space="preserve"> (Anl. 28)</w:t>
      </w:r>
      <w:bookmarkEnd w:id="58"/>
      <w:r w:rsidR="00AA2129">
        <w:rPr>
          <w:noProof/>
        </w:rPr>
        <mc:AlternateContent>
          <mc:Choice Requires="wps">
            <w:drawing>
              <wp:anchor distT="0" distB="0" distL="114300" distR="114300" simplePos="0" relativeHeight="251717632" behindDoc="0" locked="0" layoutInCell="1" allowOverlap="1" wp14:anchorId="0FE25B22" wp14:editId="6C213615">
                <wp:simplePos x="0" y="0"/>
                <wp:positionH relativeFrom="column">
                  <wp:posOffset>-508000</wp:posOffset>
                </wp:positionH>
                <wp:positionV relativeFrom="line">
                  <wp:posOffset>0</wp:posOffset>
                </wp:positionV>
                <wp:extent cx="34290" cy="106680"/>
                <wp:effectExtent l="11430" t="6350" r="11430" b="10795"/>
                <wp:wrapNone/>
                <wp:docPr id="463694279" name="RAAnlGraf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A5EF3" id="RAAnlGraf30"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00759FAF" w14:textId="768A8349" w:rsidR="003C5EDC" w:rsidRDefault="004A5457" w:rsidP="004A5457">
      <w:pPr>
        <w:ind w:left="708"/>
      </w:pPr>
      <w:bookmarkStart w:id="59" w:name="AnlageString30"/>
      <w:r>
        <w:t>Verwaltungsvorgang</w:t>
      </w:r>
      <w:bookmarkStart w:id="60" w:name="RAAnlage30"/>
      <w:bookmarkEnd w:id="59"/>
      <w:r w:rsidRPr="004A5457">
        <w:t xml:space="preserve"> (Anl. 29)</w:t>
      </w:r>
      <w:bookmarkEnd w:id="60"/>
      <w:r w:rsidR="00AA2129">
        <w:rPr>
          <w:noProof/>
        </w:rPr>
        <mc:AlternateContent>
          <mc:Choice Requires="wps">
            <w:drawing>
              <wp:anchor distT="0" distB="0" distL="114300" distR="114300" simplePos="0" relativeHeight="251719680" behindDoc="0" locked="0" layoutInCell="1" allowOverlap="1" wp14:anchorId="2D96051E" wp14:editId="3D76182E">
                <wp:simplePos x="0" y="0"/>
                <wp:positionH relativeFrom="column">
                  <wp:posOffset>-508000</wp:posOffset>
                </wp:positionH>
                <wp:positionV relativeFrom="line">
                  <wp:posOffset>0</wp:posOffset>
                </wp:positionV>
                <wp:extent cx="34290" cy="106680"/>
                <wp:effectExtent l="11430" t="5080" r="11430" b="12065"/>
                <wp:wrapNone/>
                <wp:docPr id="1797704424" name="RAAnlGraf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 cy="1066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8CB50" id="RAAnlGraf31" o:spid="_x0000_s1026" style="position:absolute;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40pt,0" to="-37.3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">
                <w10:wrap anchory="line"/>
              </v:line>
            </w:pict>
          </mc:Fallback>
        </mc:AlternateContent>
      </w:r>
    </w:p>
    <w:p w14:paraId="6D92E5A9" w14:textId="66B5FC4D" w:rsidR="004A5457" w:rsidRDefault="004755C5" w:rsidP="004A5457">
      <w:pPr>
        <w:pStyle w:val="berschrift3"/>
      </w:pPr>
      <w:r>
        <w:t>Klägervortrag und Entscheidung des Gerichts</w:t>
      </w:r>
    </w:p>
    <w:p w14:paraId="6291528C" w14:textId="7FCFDC2E" w:rsidR="005F28C8" w:rsidRDefault="004755C5" w:rsidP="005F28C8">
      <w:r>
        <w:t>Die Beschwerdeführerin hat schon in de</w:t>
      </w:r>
      <w:r w:rsidR="00C1020A">
        <w:t xml:space="preserve">n Einsichtsanträgen an den BND und in der Klagebegründung </w:t>
      </w:r>
      <w:r>
        <w:t xml:space="preserve">vom 19. November 2020 (b.v.) </w:t>
      </w:r>
      <w:r w:rsidR="00D46110">
        <w:t xml:space="preserve">zu Art. 5 GG und zu Art. 10 EMRK ausgeführt (vgl. Klagebegründung vom 19.11.2020 und Anlage K 5 und K 9 zur Klagebegründung, b.v.). </w:t>
      </w:r>
      <w:r w:rsidR="005F28C8">
        <w:t xml:space="preserve">Sie führte aus, </w:t>
      </w:r>
      <w:r w:rsidR="005F28C8" w:rsidRPr="005F28C8">
        <w:t xml:space="preserve">dass Unterlagen des Bundesnachrichtendienstes (BND) zu historischen Ereignissen, insbesondere zu Adolf Eichmann, nach Ablauf der gesetzlichen Schutzfristen grundsätzlich der Öffentlichkeit zugänglich sein </w:t>
      </w:r>
      <w:r w:rsidR="005F28C8">
        <w:t xml:space="preserve">müssten. </w:t>
      </w:r>
      <w:r w:rsidR="005F28C8" w:rsidRPr="005F28C8">
        <w:t xml:space="preserve">Jede Einschränkung des Informationszugangs </w:t>
      </w:r>
      <w:r w:rsidR="005F28C8">
        <w:t>stelle</w:t>
      </w:r>
      <w:r w:rsidR="005F28C8" w:rsidRPr="005F28C8">
        <w:t xml:space="preserve"> einen Eingriff in die Informationsfreiheit nach Art. 5 GG dar und </w:t>
      </w:r>
      <w:r w:rsidR="005F28C8">
        <w:t>müsse</w:t>
      </w:r>
      <w:r w:rsidR="005F28C8" w:rsidRPr="005F28C8">
        <w:t xml:space="preserve"> daher verfassungsrechtlichen Anforderungen genügen</w:t>
      </w:r>
      <w:r w:rsidR="005F28C8">
        <w:t xml:space="preserve">. Sie müsse verhältnismäßig sind, sie müsse dem Zitiergebot (Art. 19 Abs. 1, S. 2 GG) genügen, und sie lasse keine Bereichsausnahme wie § 6 BArchG zu. Die Beschwerdeführerin verwies u.a. auf </w:t>
      </w:r>
      <w:r w:rsidR="005F28C8" w:rsidRPr="005F28C8">
        <w:t>BVerfGE 145, 365</w:t>
      </w:r>
      <w:r w:rsidR="005F28C8">
        <w:t xml:space="preserve">. </w:t>
      </w:r>
    </w:p>
    <w:p w14:paraId="46842051" w14:textId="1604ED34" w:rsidR="00436EDA" w:rsidRDefault="00436EDA" w:rsidP="005F28C8">
      <w:r>
        <w:lastRenderedPageBreak/>
        <w:t>Nachdem der Fachsenat im in-camera-Verfahren die Sperrerklärung des BND und die Zurückhaltung der Unterlagen nach § 99 VwGO für rechtmäßig erklärt hatte, trug die Beschwerdeführerin mit Schriftsatz vom 21. Mai 2026 umfänglich zur Frage vor, ob und wie weit der erkennende 10. Senat an den Beschluss des Fachsenats aus dem in-camera-Verfahren gebunden sie. Die Beschwerdeführerin argumentierte auf über 4 Seiten ausführlich u.a. folgenderweise:</w:t>
      </w:r>
    </w:p>
    <w:p w14:paraId="6FCBF719" w14:textId="77777777" w:rsidR="00436EDA" w:rsidRPr="00436EDA" w:rsidRDefault="00436EDA" w:rsidP="00436EDA">
      <w:pPr>
        <w:numPr>
          <w:ilvl w:val="0"/>
          <w:numId w:val="14"/>
        </w:numPr>
      </w:pPr>
      <w:r w:rsidRPr="00436EDA">
        <w:t xml:space="preserve">Eine etwaige präjudizielle Wirkung der Entscheidung des Fachsenats sei jedenfalls auf die tatbestandlichen Feststellungen beschränkt. Bei der im Rahmen von § 99 Abs. 1 VwGO und von § 13 Abs. 1 BArchG erforderlichen Entscheidung über die Rechtsfolge sei jedoch kein Gleichlauf des Prüfprogrammes gegeben. </w:t>
      </w:r>
    </w:p>
    <w:p w14:paraId="7ED35A83" w14:textId="77777777" w:rsidR="00436EDA" w:rsidRPr="00436EDA" w:rsidRDefault="00436EDA" w:rsidP="00436EDA">
      <w:pPr>
        <w:numPr>
          <w:ilvl w:val="0"/>
          <w:numId w:val="14"/>
        </w:numPr>
      </w:pPr>
      <w:r w:rsidRPr="00436EDA">
        <w:t>Auch § 13 Abs. 1 BArchG sehe ein Ermessen vor, und zwar das Ermessen bei der Auswahl zwischen der vollständigen Versagung des Zugangs und der Einschränkung des Zugangs.</w:t>
      </w:r>
    </w:p>
    <w:p w14:paraId="0D444B1B" w14:textId="77777777" w:rsidR="00436EDA" w:rsidRPr="00436EDA" w:rsidRDefault="00436EDA" w:rsidP="00436EDA">
      <w:pPr>
        <w:numPr>
          <w:ilvl w:val="0"/>
          <w:numId w:val="14"/>
        </w:numPr>
      </w:pPr>
      <w:r w:rsidRPr="00436EDA">
        <w:t xml:space="preserve">Jede Ermessens. bzw. Auswahlentscheidung sei immer streng an die bestimmte Norm und deren Kontext im Gesetz gebunden. Eine Ermessensentscheidung bei einer Norm sei daher niemals austauschbar oder können faktisch mit der Ermessensausübung bei einer anderen Norm übereinstimmen. Eine präjudizielle Wirkung sei daher ausgeschlossen. </w:t>
      </w:r>
    </w:p>
    <w:p w14:paraId="1001F37F" w14:textId="77777777" w:rsidR="00436EDA" w:rsidRPr="00436EDA" w:rsidRDefault="00436EDA" w:rsidP="00436EDA">
      <w:pPr>
        <w:numPr>
          <w:ilvl w:val="0"/>
          <w:numId w:val="14"/>
        </w:numPr>
      </w:pPr>
      <w:r w:rsidRPr="00436EDA">
        <w:t>Die bisherige Rechtsprechung des BVerwG wende die präjudizielle Wirkung ausdrücklich allein auf den Gleichlauf des tatbestandlichen Prüfprogrammes. Die präjudizielle Wirkung der Ermessensprüfung sei noch nicht entschieden und müsse verneint werden.</w:t>
      </w:r>
    </w:p>
    <w:p w14:paraId="35E71AD1" w14:textId="77777777" w:rsidR="00436EDA" w:rsidRPr="00436EDA" w:rsidRDefault="00436EDA" w:rsidP="00436EDA">
      <w:pPr>
        <w:numPr>
          <w:ilvl w:val="0"/>
          <w:numId w:val="14"/>
        </w:numPr>
      </w:pPr>
      <w:r w:rsidRPr="00436EDA">
        <w:t>Die Ausübung der Ermessens- bzw. Abwägungsentscheidung in § 99 Abs. VwGO und § 13 BArchG unterscheide sich. § 99 VwGO sei grundrechtsträger</w:t>
      </w:r>
      <w:r w:rsidRPr="00436EDA">
        <w:rPr>
          <w:u w:val="single"/>
        </w:rPr>
        <w:t>un</w:t>
      </w:r>
      <w:r w:rsidRPr="00436EDA">
        <w:t>freundlicher in seiner Ermessenspraxis als § 13 Abs. 1 BArchG. § 99 VwGO sei eine prozessuale Norm, die die Ermittlung des Sachverhalts im Gerichtsverfahren normiere. § 13 Abs. 1 BArchG hingegen gehe davon aus, dass die Unterlagen grundsätzlich archivwürdig und damit öffentlich zugänglich zu machen seien. Das BArchG sei insgesamt darauf ausgelegt, einen Zugang so weit wie möglich zu ermöglichen. Die Zugangsversagung sei ultima ratio.</w:t>
      </w:r>
    </w:p>
    <w:p w14:paraId="7DFC88EE" w14:textId="77777777" w:rsidR="00436EDA" w:rsidRDefault="00436EDA" w:rsidP="00436EDA">
      <w:pPr>
        <w:numPr>
          <w:ilvl w:val="0"/>
          <w:numId w:val="14"/>
        </w:numPr>
      </w:pPr>
      <w:r w:rsidRPr="00436EDA">
        <w:lastRenderedPageBreak/>
        <w:t>Das zeige sich u.a. darin, dass der Fachsenat bei seiner Überprüfung die archivrechtlichen Schutzfristen und Wertungen aus §§ 11 ff. BArchG nicht berücksichtige.</w:t>
      </w:r>
    </w:p>
    <w:p w14:paraId="6D82FF20" w14:textId="2541A9FA" w:rsidR="00436EDA" w:rsidRDefault="00436EDA" w:rsidP="00436EDA">
      <w:pPr>
        <w:pStyle w:val="Listenabsatz"/>
      </w:pPr>
      <w:r>
        <w:t>Vgl. ausführlich Klägerschriftsatz vom 21. Mai 2026, S. 4-9 (b.v.)</w:t>
      </w:r>
    </w:p>
    <w:p w14:paraId="6FE79597" w14:textId="6B344EF2" w:rsidR="00E11D2B" w:rsidRDefault="00E11D2B" w:rsidP="00436EDA">
      <w:r>
        <w:t>Das BVerwG wies die Klage ab. Es führte aus, der BND sei nicht verpflichtet, die noch streitgegenständlichen Unterlagen herauszugeben. Zur Begründung stützt das BVerwG sich nicht tragend auf die Vorschrift des § 6 BArchG. Zwar seien Unterlagen des BND, die dieser nach § 6 BArchG nicht anzubieten seien, grundsätzlich kein Archivgut des Bundes und daher nicht Gegenstand eines Nutzungsanspruchs nach dem BArchG (vgl. Rn. 21 des Urteils). § 6 BArchG sei vorliegend jedoch nicht einschlägig, weil der BND Unterlagen teilgeschwärzt vorgelegt habe (vgl. Rn. 23 ff. des Urteils).</w:t>
      </w:r>
    </w:p>
    <w:p w14:paraId="45495E94" w14:textId="6E6FA94E" w:rsidR="00E11D2B" w:rsidRDefault="00E11D2B" w:rsidP="00436EDA">
      <w:r>
        <w:t>Tragend stützt das BVerwG seine Klageabweisung auf §11 Abs. 6 iVm § 13 Abs. 1 BArchG. Für das BVerwG stehe wegen des Beschlusses des Fachsenats aus dem in-camera-Verfahren (Beschluss vom 20. Februar 2025 – 20 F 11.23) fest, dass die vom BND vorgenommenen Schwärzungen und Entnahmen nach § 13 Abs. 1 BArchG rechtmä0ig seien. Der Beschluss des Fachsenats sei für das Hauptsacheverfahren präjudiziell. Dazu führt das BVerwG, ohne auf die oben dargelegten Argumente der Beschwerdeführerin einzugehen, aus:</w:t>
      </w:r>
    </w:p>
    <w:p w14:paraId="099E6B14" w14:textId="77777777" w:rsidR="00436EDA" w:rsidRDefault="00436EDA" w:rsidP="00436EDA">
      <w:pPr>
        <w:ind w:left="708"/>
        <w:rPr>
          <w:i/>
        </w:rPr>
      </w:pPr>
      <w:r w:rsidRPr="00436EDA">
        <w:rPr>
          <w:i/>
        </w:rPr>
        <w:t>„Ein Bereich für eine eigenständige Überprüfung durch den erkennenden Senat verbleibt entgegen der Ansicht der Klägerin auch nicht mit Blick auf eine in § 13 Abs. 1 Satz 1 BArchG vorgesehene Ermessensentscheidung. § 13 Abs. 1 Satz 1 BArchG sieht die Einschränkung oder Versagung der Nutzung als gebundene Rechtsfolge vor und ist daher – auch soweit für das Vorliegen seiner Voraussetzungen gegenläufige Interessen abzuwägen sind – voll gerichtlich überprüfbar. Der Maßgeblichkeit der vom Fachsenat in Anwendung von § 99 Abs. 1 Satz 3 VwGO getroffenen Abwägungen für die Anwendung des § 13 Abs. 1 Satz 1 Nr. 1 und 2 BArchG steht deshalb nichts entgegen.“</w:t>
      </w:r>
    </w:p>
    <w:p w14:paraId="0126F591" w14:textId="2395E14D" w:rsidR="00436EDA" w:rsidRPr="00436EDA" w:rsidRDefault="00436EDA" w:rsidP="00436EDA">
      <w:pPr>
        <w:ind w:left="708"/>
      </w:pPr>
      <w:r w:rsidRPr="00436EDA">
        <w:t>Rn. 36 des Urteils</w:t>
      </w:r>
      <w:r>
        <w:t xml:space="preserve"> vom 4.6.2026, b.v.</w:t>
      </w:r>
    </w:p>
    <w:p w14:paraId="6471D2EB" w14:textId="4CBF01C2" w:rsidR="00436EDA" w:rsidRDefault="00436EDA" w:rsidP="00436EDA">
      <w:r>
        <w:t xml:space="preserve">Der Senat </w:t>
      </w:r>
      <w:r w:rsidRPr="00436EDA">
        <w:t xml:space="preserve">stellt </w:t>
      </w:r>
      <w:r>
        <w:t xml:space="preserve">also </w:t>
      </w:r>
      <w:r w:rsidRPr="00436EDA">
        <w:t xml:space="preserve">lediglich fest, dass § 13 Abs. 1 S. 1 Nr. 1 und Nr. 3 BArchG kein Ermessen vorsähen und der vollen gerichtlichen Überprüfung unterlägen. Auf den Vortrag, dass § 13 BArchG eine Abwägung und ein Auswahlermessen vorsehen, was Gesetzesspezifisch nach dem BArchG zu prüfen und daher mit § 99 Abs. 1 VwGO nicht vergleichbar sei, weshalb das </w:t>
      </w:r>
      <w:r w:rsidRPr="00436EDA">
        <w:lastRenderedPageBreak/>
        <w:t>Prüfprogramm beider Normen eben nicht übereinstimmt, geht der Senat nicht ein. Er hat damit das rechtliche Gehör der Klägerin verletzt</w:t>
      </w:r>
    </w:p>
    <w:p w14:paraId="10FAE591" w14:textId="5FB4B571" w:rsidR="00B669E7" w:rsidRDefault="00B669E7" w:rsidP="00436EDA">
      <w:r>
        <w:t>Eine Gehörsrechtsverletzung liegt auch in der Ansicht des Senats, der Beschluss des Fachsenats aus in-camera-Verfahren habe präjudizielle Wirkung. Dazu führt der Senat aus:</w:t>
      </w:r>
    </w:p>
    <w:p w14:paraId="3CCBAF05" w14:textId="7E3C8B55" w:rsidR="00B669E7" w:rsidRDefault="00B669E7" w:rsidP="00B669E7">
      <w:pPr>
        <w:ind w:left="708"/>
        <w:rPr>
          <w:i/>
        </w:rPr>
      </w:pPr>
      <w:r>
        <w:rPr>
          <w:i/>
        </w:rPr>
        <w:t>„</w:t>
      </w:r>
      <w:r w:rsidRPr="00B669E7">
        <w:rPr>
          <w:i/>
        </w:rPr>
        <w:t>Zum anderen kommt der Entscheidung des Fachsenats in materieller Hinsicht präjudizielle Wirkung zu. Ist Streitgegenstand des Hauptsacheverfahrens – wie hier – gerade die archivrechtliche Nutzung von (ungeschwärzten) Unterlagen, deren Vorlage die Beklagte nach dem Ergebnis des Zwischenverfahrens zu Recht verweigert, ist dem durch die Sperrerklärung verursachten Beweisnot-stand der beklagten Behörde im Rahmen der Beweiswürdigung dergestalt Rechnung zu tragen, dass der Entscheidung des Fachsenats im Zwischenverfahren präjudizielle Wirkung für das Hauptsacheverfahren beigemessen wird. Dies ist in der Rechtsprechung des Bundesverwaltungsgerichts geklärt und hat jeden-falls dann zu gelten, wenn das in § 99 Abs. 1 Satz 3 VwGO vorgegebene Prüfpro-gramm für die prozessuale Entscheidung mit den fachgesetzlichen Vorgaben – hier des Bundesarchivgesetzes – faktisch übereinstimmt. Entscheidet der Fachsenat in Fällen gleichgelagerter Geheimhaltungsgründe zugunsten des Geheimschutzes, bleibt mithin auch die Klage auf Akteneinsicht erfolglos (BVerwG, Beschluss &lt;Großer Senat&gt; vom 13. April 2021 - 30 GS 1.20 - BVerwGE 172, 159 Rn. 19; vgl. auch BVerwG, Urteile vom 27. Juni 2013 - 7 A 15.10 - NVwZ 2013, 1285 Rn. 24, vom 13. Januar 2022 - 6 A 7.20, 6 A 8.20 - BVerwGE 174, 342 Rn. 46 f. und vom 30. April 2025 - 10 A 1.24 - BVerwGE 185,</w:t>
      </w:r>
      <w:r w:rsidRPr="00B669E7">
        <w:rPr>
          <w:rFonts w:ascii="Georgia" w:hAnsi="Georgia" w:cs="Georgia"/>
          <w:color w:val="000000"/>
          <w:sz w:val="23"/>
          <w:szCs w:val="23"/>
        </w:rPr>
        <w:t xml:space="preserve"> </w:t>
      </w:r>
      <w:r w:rsidRPr="00B669E7">
        <w:rPr>
          <w:i/>
        </w:rPr>
        <w:t>325 Rn. 22). Für eine erneute Befassung des Großen Senats mit diesen Fragen besteht kein Anlass.</w:t>
      </w:r>
    </w:p>
    <w:p w14:paraId="776EFEDA" w14:textId="3B030751" w:rsidR="00B669E7" w:rsidRDefault="00B669E7" w:rsidP="00B669E7">
      <w:pPr>
        <w:ind w:left="708"/>
        <w:rPr>
          <w:i/>
        </w:rPr>
      </w:pPr>
      <w:r w:rsidRPr="00B669E7">
        <w:rPr>
          <w:i/>
        </w:rPr>
        <w:t xml:space="preserve">Diese Voraussetzungen für eine präjudizielle Wirkung der Entscheidung des Fachsenats sind hier erfüllt. Zwischen dem materiell-rechtlichen Prüfprogramm des § 13 Abs. 1 Satz 1 Nr. 1 und 2 BArchG einerseits und der vom Fachsenat getroffenen prozessualen Entscheidung nach § 99 Abs. 1 Satz 3 Alt. 1 und 3 VwGO andererseits besteht faktische Übereinstimmung. Der Gleichlauf der fachrechtlichen mit den prozessrechtlichen Geheimhaltungserfordernissen in Bezug auf § 13 Abs. 1 Satz 1 Nr. 1 BArchG und § 99 Abs. 1 Satz 3 Alt. 1 VwGO entspricht gefestigter Rechtsprechung des Bundesverwaltungsgerichts (BVerwG, Urteile vom 13. Januar 2022 - 6 A 7.20, 6 A 8.20 - BVerwGE 174, 342 Rn. 46 und vom 30. April 2025 - 10 A 1.24 - BVerwGE 185, 325 Rn. 23; Beschluss &lt;Großer Se-nat&gt; vom 13. April 2021 - 30 GS 1.20 - BVerwGE 172, 159 Rn. 22, 26). Das gilt auch für </w:t>
      </w:r>
      <w:r w:rsidRPr="00B669E7">
        <w:rPr>
          <w:i/>
        </w:rPr>
        <w:lastRenderedPageBreak/>
        <w:t>die hier einschlägige Ausprägung in Gestalt der Nachteile für das Wohl des Bundes bzw. der Bundesrepublik Deutschland, die zu besorgen sind, wenn von einem ausländischen Nachrichtendienst übermittelte Informationen vom BND unter Missachtung einer zugesagten oder vorausgesetzten Vertraulichkeit gleichwohl an Dritte bekannt gegeben würden (sog. Third Party Rule, vgl. dazu BVerwG, Beschluss vom 6. Februar 2025 - 20 F 11.23 - NVwZ 2025, 1618 Rn. 25 ff.). Ebenso maßstabsgleich sind § 13 Abs. 1 Satz 1 Nr. 2 BArchG und § 99 Abs. 1 Satz 3 Alt. 3 VwGO, soweit es um die Geheimhaltung schutzwürdiger pe</w:t>
      </w:r>
      <w:r>
        <w:rPr>
          <w:i/>
        </w:rPr>
        <w:t>r</w:t>
      </w:r>
      <w:r w:rsidRPr="00B669E7">
        <w:rPr>
          <w:i/>
        </w:rPr>
        <w:t>sonenbezogener Daten geht (vgl. BVerwG, Urteil vom 13. Januar 2022 a. a. O. Rn. 46).</w:t>
      </w:r>
      <w:r>
        <w:rPr>
          <w:i/>
        </w:rPr>
        <w:t>“</w:t>
      </w:r>
    </w:p>
    <w:p w14:paraId="0727A178" w14:textId="358D3EB2" w:rsidR="00D20260" w:rsidRDefault="00B669E7" w:rsidP="00D20260">
      <w:pPr>
        <w:ind w:left="708"/>
      </w:pPr>
      <w:r>
        <w:t>Rn. 34 und 35 des angegriffenen Urteils</w:t>
      </w:r>
    </w:p>
    <w:p w14:paraId="6C6A32C1" w14:textId="14F0690D" w:rsidR="00D20260" w:rsidRDefault="00D20260" w:rsidP="00D20260">
      <w:r>
        <w:t>Weiter führt das BVerwG dazu aus:</w:t>
      </w:r>
    </w:p>
    <w:p w14:paraId="64F86B2B" w14:textId="2070F244" w:rsidR="00D20260" w:rsidRDefault="00D20260" w:rsidP="00D20260">
      <w:pPr>
        <w:ind w:left="708"/>
        <w:rPr>
          <w:i/>
        </w:rPr>
      </w:pPr>
      <w:r>
        <w:rPr>
          <w:i/>
        </w:rPr>
        <w:t>„</w:t>
      </w:r>
      <w:r w:rsidRPr="00D20260">
        <w:rPr>
          <w:i/>
        </w:rPr>
        <w:t>Entgegen der Auffassung der Klägerin bleibt es dem Senat versagt, den Be-schluss des Fachsenats auf die zutreffende Bewertung von Geheimhaltungs-gründen unter Berücksichtigung ihrer Grundrechte zu überprüfen. Nachdem der Gesetzgeber keine In-Camera-Verwertung durch den erkennenden Senat im Hauptsacheverfahren vorgesehen hat, ist es von Verfassungs wegen – insbesondere vor dem Hintergrund der Garantie effektiven Rechtschutzes aus Art. 19 Abs. 4 GG – nicht zu beanstanden, dass nach dem Konzept des § 99 Abs. 2 VwGO die erforderliche Abwägung zwischen dem Rechtsschutzinteresse der Betroffenen und dem öffentlichen Interesse an der Wahrheitsfindung im Prozess auf der einen Seite und den legitimen Geheimhaltungsbedürfnissen auf der an-deren Seite abschließend durch den Fachsenat in einem gesonderten Zwischen-verfahren vorzunehmen ist (BVerwG, Urteile vom 27. Juni 2013 - 7 A 15.10 - NVwZ 2013, 1285 Rn. 28 ff., vom 20. Oktober 2016 - 2 A 2.16 - Buchholz 402.8 § 5 SÜG Nr. 31 Rn. 22 f. vor dem Hintergrund von: BVerfG, Beschluss vom 14. März 2006 - 1 BvR 2087/03 u. a. - BVerfGE 115, 205 &lt;234 ff.&gt;; sowie Urteil vom 13. Januar 2022 - 6 A 7.20, 6 A 8.20 - BVerwGE 174, 342 Rn. 50).</w:t>
      </w:r>
      <w:r>
        <w:rPr>
          <w:i/>
        </w:rPr>
        <w:t xml:space="preserve"> Auf </w:t>
      </w:r>
      <w:r w:rsidRPr="00D20260">
        <w:rPr>
          <w:i/>
        </w:rPr>
        <w:t>Seite Grundlage der Maßstabsidentität ist es eine Konsequenz der Aufteilung auf zwei Spruchkörper, dass für ein Hauptsacheverfahren, in dem wie hier die Vorlage von Unterlagen den Streitgegenstand bildet, der prozessualen Entscheidung in dem diese Unterlagen betreffenden Zwischenverfahren in materieller Hinsicht präjudizielle Wirkung zukommen muss. Für eine Prüfung von Geheimhaltungsgründen durch das Gericht der Hauptsache besteht danach kein Raum. Dies ist jedenfalls deshalb unbedenklich, weil betroffene Grundrechtsträger die Zwi</w:t>
      </w:r>
      <w:r w:rsidRPr="00D20260">
        <w:rPr>
          <w:i/>
        </w:rPr>
        <w:lastRenderedPageBreak/>
        <w:t>schenentscheidung mit der Verfassungsbeschwerde angreifen können (BVerfG, Beschluss vom 27. Oktober 1999 - 1 BvR 385/90 - BVerfGE 101, 106 &lt;120&gt;; BVerwG, Urteile vom 27. Juni 2013 - 7 A 15.10 - NVwZ 2013, 1285 Rn. 25 und vom 13. Januar 2022 - 6 A 7.20, 6 A 8.20 - BVerwGE 174, 342 Rn. 50).</w:t>
      </w:r>
    </w:p>
    <w:p w14:paraId="0311E6F4" w14:textId="6D3606B9" w:rsidR="00D46110" w:rsidRDefault="00D46110" w:rsidP="00D46110">
      <w:r>
        <w:t>Zu Art. 10 EMRK stellt das BVerwG lediglich apodiktisch fest:</w:t>
      </w:r>
    </w:p>
    <w:p w14:paraId="1BFDA985" w14:textId="242B7C8F" w:rsidR="00D46110" w:rsidRDefault="00D46110" w:rsidP="00D46110">
      <w:pPr>
        <w:ind w:left="708"/>
        <w:rPr>
          <w:i/>
        </w:rPr>
      </w:pPr>
      <w:r w:rsidRPr="00D46110">
        <w:rPr>
          <w:i/>
        </w:rPr>
        <w:t xml:space="preserve">„Weitergehende Zugangsrechte bestehen auch nicht unter Berücksichtigung von Art. 10 Abs. 1 EMRK. Soweit das von der Klägerin in ihrer Rolle als Journalistin bzw. in der Funktion als "public watchdog" geltend ge-machte Zugangsbegehren von der Garantie des Art. 10 Abs. 1 EMRK erfasst wird, kommt es maßgeblich darauf an, ob die nach innerstaatlichem Recht vor-gesehenen Einschränkungen dem Schutz legitimer öffentlicher und privater In-teressen dienen und – auch im konkreten Fall – in einer demokratischen Gesell-schaft notwendig (Art. 10 Abs. 2 EMRK) sind (vgl. zuletzt EGMR, Urteil vom 21. </w:t>
      </w:r>
      <w:r w:rsidRPr="00D46110">
        <w:rPr>
          <w:i/>
          <w:lang w:val="en-US"/>
        </w:rPr>
        <w:t xml:space="preserve">April 2026 - Nr. 20066/18, Nederlandse Omroep Stichting and others v. The Netherlands - Rn. 90 ff.). </w:t>
      </w:r>
      <w:r w:rsidRPr="00D46110">
        <w:rPr>
          <w:i/>
        </w:rPr>
        <w:t>Dies ist mit Blick auf die Schutzgüter des § 13 Abs. 1 Satz 1 Nr. 1 und 2 BArchG hier der Fall (siehe auch BVerwG, Urteile vom 30. Ja-nuar 2020 - 10 C 18.19 - BVerwGE 167, 319 Rn. 38 m. w. N. und vom 30. April 2025 - 10 A 1.24 - BVerwGE 185, 325 Rn. 18).“</w:t>
      </w:r>
    </w:p>
    <w:p w14:paraId="0F77D97A" w14:textId="56CA64DD" w:rsidR="00D46110" w:rsidRPr="00D46110" w:rsidRDefault="00D46110" w:rsidP="00D46110">
      <w:pPr>
        <w:ind w:left="708"/>
      </w:pPr>
      <w:r>
        <w:t>Rn. 38 des Urteils</w:t>
      </w:r>
    </w:p>
    <w:p w14:paraId="35BBDDD1" w14:textId="71593A8A" w:rsidR="00B669E7" w:rsidRDefault="00B669E7" w:rsidP="00B669E7">
      <w:r>
        <w:t xml:space="preserve">Die Beschwerdeführerin hat am </w:t>
      </w:r>
      <w:r w:rsidRPr="00B669E7">
        <w:rPr>
          <w:highlight w:val="yellow"/>
        </w:rPr>
        <w:t>###</w:t>
      </w:r>
      <w:r>
        <w:t xml:space="preserve"> </w:t>
      </w:r>
      <w:r w:rsidRPr="00B669E7">
        <w:rPr>
          <w:b/>
        </w:rPr>
        <w:t>Anhörungsrüge</w:t>
      </w:r>
      <w:r>
        <w:t xml:space="preserve"> beim BVerwG erhoben. </w:t>
      </w:r>
    </w:p>
    <w:p w14:paraId="2588CA33" w14:textId="2CDACC9E" w:rsidR="00B669E7" w:rsidRDefault="00B669E7" w:rsidP="00B669E7">
      <w:pPr>
        <w:ind w:left="708"/>
      </w:pPr>
      <w:r w:rsidRPr="00B669E7">
        <w:rPr>
          <w:highlight w:val="yellow"/>
        </w:rPr>
        <w:t>Vgl. ###</w:t>
      </w:r>
    </w:p>
    <w:p w14:paraId="09A3E900" w14:textId="5CCE11CE" w:rsidR="00B669E7" w:rsidRPr="00B669E7" w:rsidRDefault="00B669E7" w:rsidP="00B669E7">
      <w:r>
        <w:t>Über diese Rüge ist bislang nicht entschieden. Sobald eine Entscheidung des BVerwG vorliegt</w:t>
      </w:r>
      <w:r w:rsidR="00D15868">
        <w:t>,</w:t>
      </w:r>
      <w:r>
        <w:t xml:space="preserve"> werden wir das Gericht darüber informieren. </w:t>
      </w:r>
    </w:p>
    <w:p w14:paraId="24EEE088" w14:textId="4893295A" w:rsidR="004F7EF0" w:rsidRDefault="004F7EF0" w:rsidP="004F7EF0">
      <w:pPr>
        <w:pStyle w:val="berschrift2"/>
      </w:pPr>
      <w:r>
        <w:t>Rechtliche Erwägungen</w:t>
      </w:r>
    </w:p>
    <w:p w14:paraId="1937ACEA" w14:textId="7F5E8DC8" w:rsidR="00B669E7" w:rsidRDefault="00B669E7" w:rsidP="00B669E7">
      <w:r>
        <w:t>Die zulässige Verfassungsbeschwerde ist begründet.</w:t>
      </w:r>
    </w:p>
    <w:p w14:paraId="15E79445" w14:textId="17DB56AA" w:rsidR="00B669E7" w:rsidRDefault="00B669E7" w:rsidP="00B669E7">
      <w:pPr>
        <w:pStyle w:val="berschrift3"/>
        <w:numPr>
          <w:ilvl w:val="0"/>
          <w:numId w:val="16"/>
        </w:numPr>
      </w:pPr>
      <w:bookmarkStart w:id="61" w:name="_Hlk206765971"/>
      <w:r>
        <w:t>Zulässigkeit</w:t>
      </w:r>
    </w:p>
    <w:p w14:paraId="391D5DB1" w14:textId="5BC4546C" w:rsidR="00B669E7" w:rsidRDefault="00B669E7" w:rsidP="00D15868">
      <w:r>
        <w:t xml:space="preserve">Das Bundesverfassungsgericht ist zuständig für Verfassungsbeschwerde gem. Art. 94 Abs. 1 Nr. 4a GG, § 13 Nr. 8a BVerfGG. Die Beschwerdeführerin ist als natürliche Person „jedermann“ </w:t>
      </w:r>
      <w:r>
        <w:lastRenderedPageBreak/>
        <w:t>und als Journalistin Trägerin der gerügten Grundrechte. Das angegriffene Urteil des BVerwG ist als Akt der öffentlichen Gewalt tauglicher Beschwerdegegenstand. Indem das Gericht in dem Urteil eine präjudizielle Wirkung des Beschlusses des Fachsenats des annimmt und sich dessen Feststellungen zu eigen macht, verletzt das Urteil die gerügten Grundrechte der Beschwerdeführerin. Die Beschwerdeführerin ist durch das Urteil auch selbst, gegenwärtig und unmittelbar in ihren Grundrechten betroffen, mithin beschwerdebefugt. Die Verfassungsbeschwerde ist form- und fristgerecht erhoben.  Der Grundsatz der Rechtswegerschöpfung ist gewahrt, § 90 Abs. 2 S. 1 BVerfGG. Das angegriffene Urteil des Bundesverwaltungsgerichts ist letztinstanzlich und unanfechtbar.</w:t>
      </w:r>
    </w:p>
    <w:p w14:paraId="16781089" w14:textId="6AEF7E67" w:rsidR="00B669E7" w:rsidRDefault="00B669E7" w:rsidP="00B669E7">
      <w:pPr>
        <w:pStyle w:val="berschrift3"/>
        <w:numPr>
          <w:ilvl w:val="0"/>
          <w:numId w:val="16"/>
        </w:numPr>
        <w:spacing w:line="276" w:lineRule="auto"/>
      </w:pPr>
      <w:r>
        <w:t>Begründetheit</w:t>
      </w:r>
    </w:p>
    <w:p w14:paraId="037D5810" w14:textId="0F06E47C" w:rsidR="00B669E7" w:rsidRDefault="00B669E7" w:rsidP="00B669E7">
      <w:pPr>
        <w:spacing w:line="276" w:lineRule="auto"/>
      </w:pPr>
      <w:r>
        <w:t>Die Verfassungsbeschwerde ist begründet.</w:t>
      </w:r>
    </w:p>
    <w:p w14:paraId="742049AC" w14:textId="5CBCC856" w:rsidR="00B669E7" w:rsidRDefault="00B669E7" w:rsidP="00B669E7">
      <w:pPr>
        <w:pStyle w:val="berschrift4"/>
      </w:pPr>
      <w:r w:rsidRPr="00B669E7">
        <w:t>Recht auf effektiven Rechtsschutz und rechtliches Gehör, Art. 19 Abs. 4 i.V.m Art. 103 Abs. 1 GG</w:t>
      </w:r>
    </w:p>
    <w:p w14:paraId="3F16CB62" w14:textId="45846125" w:rsidR="00DB5920" w:rsidRDefault="00DB5920" w:rsidP="00DB5920">
      <w:r>
        <w:t>Durch das dem Urteil des BVerwG zugrundeliegende Verfahren, in dem die Entscheidung materiell-rechtlich maßgeblich auf einem In-Camera-Zwischenverfahren beruht, das unter Ausschluss de</w:t>
      </w:r>
      <w:r w:rsidR="00D15868">
        <w:t>r</w:t>
      </w:r>
      <w:r>
        <w:t xml:space="preserve"> Beschwerdeführer</w:t>
      </w:r>
      <w:r w:rsidR="00D15868">
        <w:t>in</w:t>
      </w:r>
      <w:r>
        <w:t xml:space="preserve"> stattfand, wird </w:t>
      </w:r>
      <w:r w:rsidR="00D15868">
        <w:t>die Beschwerdeführerin</w:t>
      </w:r>
      <w:r>
        <w:t xml:space="preserve"> in </w:t>
      </w:r>
      <w:r w:rsidR="00D15868">
        <w:t>ihrem</w:t>
      </w:r>
      <w:r>
        <w:t xml:space="preserve"> Recht auf effektiven Rechtschutz aus Art. 19 Abs. 4 GG und auf rechtliches Gehör gem. Art. 103 Abs. 1 GG verletzt.</w:t>
      </w:r>
    </w:p>
    <w:p w14:paraId="5CB48329" w14:textId="7DEC4BFB" w:rsidR="00DB5920" w:rsidRDefault="00DB5920" w:rsidP="00DB5920">
      <w:pPr>
        <w:pStyle w:val="berschrift6"/>
      </w:pPr>
      <w:r>
        <w:t>Schutzbereich und Eingriff</w:t>
      </w:r>
    </w:p>
    <w:p w14:paraId="1418A3E6" w14:textId="77777777" w:rsidR="00DB5920" w:rsidRPr="001B5723" w:rsidRDefault="00DB5920" w:rsidP="000D664F">
      <w:r>
        <w:t xml:space="preserve">In sachlicher Hinsicht garantiert Art. 19 Abs. 4 GG als zentrale Garantie eines Rechtsstaats eine tatsächliche und wirksame Kontrolle durch die Gerichte, in denen eine Rechtsverletzung durch die öffentliche Gewalt – einschließlich der Judikative – möglich erscheint. Diese Garantie erschöpft sich nicht in dem Anspruch auf die Durchführung eines gerichtlichen Verfahrens, sondern enthält insbesondere den Anspruch auf Zugang zu effektivem Rechtsschutz. </w:t>
      </w:r>
      <w:r w:rsidRPr="001B5723">
        <w:rPr>
          <w:iCs/>
        </w:rPr>
        <w:t>Gewährleistet wird</w:t>
      </w:r>
      <w:r>
        <w:rPr>
          <w:iCs/>
        </w:rPr>
        <w:t xml:space="preserve"> insofern</w:t>
      </w:r>
      <w:r w:rsidRPr="001B5723">
        <w:rPr>
          <w:iCs/>
        </w:rPr>
        <w:t xml:space="preserve"> nicht nur das formelle Recht, die Gerichte anzurufen, sondern auch die Effektivität des Rechtsschutzes </w:t>
      </w:r>
      <w:r>
        <w:rPr>
          <w:iCs/>
        </w:rPr>
        <w:t xml:space="preserve">im Sinne </w:t>
      </w:r>
      <w:r w:rsidRPr="001B5723">
        <w:rPr>
          <w:iCs/>
        </w:rPr>
        <w:t>eine</w:t>
      </w:r>
      <w:r>
        <w:rPr>
          <w:iCs/>
        </w:rPr>
        <w:t>r</w:t>
      </w:r>
      <w:r w:rsidRPr="001B5723">
        <w:rPr>
          <w:iCs/>
        </w:rPr>
        <w:t xml:space="preserve"> wirksame</w:t>
      </w:r>
      <w:r>
        <w:rPr>
          <w:iCs/>
        </w:rPr>
        <w:t>n</w:t>
      </w:r>
      <w:r w:rsidRPr="001B5723">
        <w:rPr>
          <w:iCs/>
        </w:rPr>
        <w:t xml:space="preserve"> gerichtliche</w:t>
      </w:r>
      <w:r>
        <w:rPr>
          <w:iCs/>
        </w:rPr>
        <w:t>n</w:t>
      </w:r>
      <w:r w:rsidRPr="001B5723">
        <w:rPr>
          <w:iCs/>
        </w:rPr>
        <w:t xml:space="preserve"> Kontrolle</w:t>
      </w:r>
      <w:r>
        <w:rPr>
          <w:iCs/>
        </w:rPr>
        <w:t>.</w:t>
      </w:r>
    </w:p>
    <w:p w14:paraId="10546688" w14:textId="77777777" w:rsidR="00DB5920" w:rsidRDefault="00DB5920" w:rsidP="00DB5920">
      <w:pPr>
        <w:ind w:left="708"/>
      </w:pPr>
      <w:r>
        <w:t>BVerfG, Beschluss vom 16. Mai 1995 – 1 BvR 1087/91 –, BVerfGE 93, 1-37, Rn. 28; BVerfG, Urteil vom 27. Februar 2007 – 1 BvR 538/06 –, BVerfGE 117, 244-272, Rn. 68</w:t>
      </w:r>
    </w:p>
    <w:p w14:paraId="10EE16D2" w14:textId="77777777" w:rsidR="00DB5920" w:rsidRDefault="00DB5920" w:rsidP="00DB5920">
      <w:r>
        <w:lastRenderedPageBreak/>
        <w:t xml:space="preserve">Das Grundrecht gewährleistet ein Leistungsrecht für Jedermann, das beeinträchtigt ist, wenn der Zugang zu den Gerichten ausgeschlossen oder in unzumutbarer, aus Sachgründen nicht gerechtfertigter Weise erschwert wird, aber auch ein Abwehrrecht, soweit ein an sich möglicher Rechtsschutz ausgeschlossen ist. </w:t>
      </w:r>
    </w:p>
    <w:p w14:paraId="18EE3E99" w14:textId="77777777" w:rsidR="00DB5920" w:rsidRDefault="00DB5920" w:rsidP="00DB5920">
      <w:r>
        <w:tab/>
      </w:r>
      <w:r w:rsidRPr="001B5723">
        <w:rPr>
          <w:lang w:val="en-GB"/>
        </w:rPr>
        <w:t xml:space="preserve">Vgl. BVerfGE 100, 313/364; Jarass, in: Jarass/Pieroth, GG, 15. </w:t>
      </w:r>
      <w:r>
        <w:t>Auflage 2018, Art. 19 Rn.50</w:t>
      </w:r>
    </w:p>
    <w:p w14:paraId="06E431ED" w14:textId="77777777" w:rsidR="00DB5920" w:rsidRDefault="00DB5920" w:rsidP="00DB5920">
      <w:r>
        <w:t>Die Ausgestaltung des Rechtswegs und die Intensität gerichtlicher Kontrolle müssen der Durchsetzung des materiellen Rechts wirkungsvoll dienen.</w:t>
      </w:r>
    </w:p>
    <w:p w14:paraId="7B5C095E" w14:textId="77777777" w:rsidR="00DB5920" w:rsidRDefault="00DB5920" w:rsidP="00DB5920">
      <w:pPr>
        <w:ind w:firstLine="708"/>
      </w:pPr>
      <w:r>
        <w:t>BVerfGE 61, 82 (110 f.); 84, 34 (49); 101, 106 (122)</w:t>
      </w:r>
    </w:p>
    <w:p w14:paraId="14E044CD" w14:textId="77777777" w:rsidR="00DB5920" w:rsidRDefault="00DB5920" w:rsidP="00DB5920">
      <w:r>
        <w:t>Das Gericht muss das Rechtsschutzbegehren in tatsächlicher und rechtlicher Hinsicht prüfen können und genügend Entscheidungsbefugnis besitzen, um drohende Rechtsverletzungen zu beheben.</w:t>
      </w:r>
    </w:p>
    <w:p w14:paraId="7ABC2471" w14:textId="77777777" w:rsidR="00DB5920" w:rsidRDefault="00DB5920" w:rsidP="00DB5920">
      <w:pPr>
        <w:ind w:firstLine="708"/>
      </w:pPr>
      <w:r>
        <w:t>BVerfGE 61, 82 (111); 84, 34 (49); 101, 106 (123); 103, 142 (156); 129, 1 (20)</w:t>
      </w:r>
    </w:p>
    <w:p w14:paraId="1ECEF731" w14:textId="77777777" w:rsidR="00DB5920" w:rsidRDefault="00DB5920" w:rsidP="00DB5920">
      <w:r>
        <w:t>Art. 19 Abs. 4 GG fordert auch, dass Verwaltungsvorgänge, welche den für das Verwaltungsverfahren und dessen Ergebnis maßgeblichen Sachverhalt dokumentieren, dem Gericht zur Verfügung stehen. Das Gericht muss die tatsächlichen Grundlagen zudem selbst ermitteln und seine rechtliche Auffassung unabhängig von der Verwaltung gewinnen und begründen können.</w:t>
      </w:r>
      <w:r w:rsidRPr="001A5C0A">
        <w:t xml:space="preserve"> </w:t>
      </w:r>
      <w:r>
        <w:t>Hierunter fällt auch die Möglichkeit, Akten, deren Vorlage die Verwaltung unter Verweis auf Geheimhaltungsinteressen abgelehnt hat, beizuziehen.</w:t>
      </w:r>
    </w:p>
    <w:p w14:paraId="04EDDB43" w14:textId="77777777" w:rsidR="00DB5920" w:rsidRDefault="00DB5920" w:rsidP="00DB5920">
      <w:pPr>
        <w:ind w:firstLine="708"/>
      </w:pPr>
      <w:r>
        <w:t>BVerfGE 101, 106 (124)</w:t>
      </w:r>
    </w:p>
    <w:p w14:paraId="34013F41" w14:textId="77777777" w:rsidR="00DB5920" w:rsidRDefault="00DB5920" w:rsidP="00DB5920">
      <w:r>
        <w:t>Wenn Art. 19 Abs. 4 GG fordert, dass das Gericht Zugang zu allen für die Entscheidung maßgeblichen Dokumenten haben muss, so schließt dies im Zusammenspiel mit Art. 103 Abs. 1 GG auch ein, dass die Beteiligten sich zu diesen äußern können.</w:t>
      </w:r>
    </w:p>
    <w:p w14:paraId="2EE47702" w14:textId="77777777" w:rsidR="00DB5920" w:rsidRDefault="00DB5920" w:rsidP="00DB5920">
      <w:pPr>
        <w:ind w:firstLine="708"/>
      </w:pPr>
      <w:r>
        <w:t>BVerfG 101, 106 (129 f.)</w:t>
      </w:r>
    </w:p>
    <w:p w14:paraId="0DB64BC4" w14:textId="77777777" w:rsidR="00DB5920" w:rsidRDefault="00DB5920" w:rsidP="00DB5920">
      <w:r>
        <w:t xml:space="preserve">Art. 19 Abs. 4 GG und Art. 103 GG stehen insofern in einem engen funktionalen Zusammenhang zueinander. </w:t>
      </w:r>
    </w:p>
    <w:p w14:paraId="25854EFC" w14:textId="77777777" w:rsidR="00DB5920" w:rsidRPr="007F7427" w:rsidRDefault="00DB5920" w:rsidP="00DB5920">
      <w:pPr>
        <w:ind w:left="708"/>
        <w:rPr>
          <w:i/>
        </w:rPr>
      </w:pPr>
      <w:r w:rsidRPr="007F7427">
        <w:rPr>
          <w:i/>
        </w:rPr>
        <w:lastRenderedPageBreak/>
        <w:t xml:space="preserve">„Im rechtsstaatlichen Kerngehalt unterscheiden sich der allgemeine Justizgewährungsanspruch und als dessen Spezialregelung die Rechtsweggarantie des Art. 19 </w:t>
      </w:r>
      <w:r>
        <w:rPr>
          <w:i/>
        </w:rPr>
        <w:t>Abs. 4</w:t>
      </w:r>
      <w:r w:rsidRPr="007F7427">
        <w:rPr>
          <w:i/>
        </w:rPr>
        <w:t xml:space="preserve"> GG nicht.“</w:t>
      </w:r>
    </w:p>
    <w:p w14:paraId="0633D68B" w14:textId="77777777" w:rsidR="00DB5920" w:rsidRPr="00FE5F87" w:rsidRDefault="00DB5920" w:rsidP="00DB5920">
      <w:pPr>
        <w:ind w:left="708"/>
      </w:pPr>
      <w:r w:rsidRPr="00FE5F87">
        <w:t>BVerfG, Beschlu</w:t>
      </w:r>
      <w:r>
        <w:t>ss</w:t>
      </w:r>
      <w:r w:rsidRPr="00FE5F87">
        <w:t xml:space="preserve"> vom 30. 4. 2003 - 1 PBvU 1/02, NJW 2003, 1924, </w:t>
      </w:r>
      <w:r w:rsidRPr="007F7427">
        <w:t xml:space="preserve">m.W.n.; </w:t>
      </w:r>
      <w:r w:rsidRPr="00FE5F87">
        <w:t>BVerfGE 81, 123 (129); 101, 106 (129)</w:t>
      </w:r>
    </w:p>
    <w:p w14:paraId="0DBA406E" w14:textId="77777777" w:rsidR="00DB5920" w:rsidRDefault="00DB5920" w:rsidP="00DB5920">
      <w:r>
        <w:t>Art. 19 Abs. 4 GG legt insoweit die Anforderungen an den materiellen Inhalt eines Prozesses fest, zu diesem Inhalt können die Beteiligten dann ihre durch Art. 103 Abs. 1 GG garantierten prozessualen Rechtspositionen wahrnehmen.</w:t>
      </w:r>
    </w:p>
    <w:p w14:paraId="3D467CB3" w14:textId="77777777" w:rsidR="00DB5920" w:rsidRDefault="00DB5920" w:rsidP="00DB5920">
      <w:pPr>
        <w:ind w:firstLine="708"/>
      </w:pPr>
      <w:r>
        <w:t>BVerfGE 85, 337 (345); 101, 106 (129f.)</w:t>
      </w:r>
    </w:p>
    <w:p w14:paraId="542AB678" w14:textId="77777777" w:rsidR="00DB5920" w:rsidRDefault="00DB5920" w:rsidP="00DB5920">
      <w:r>
        <w:t xml:space="preserve">Das Zusammenspiel beider Gewährleistungen soll garantieren, dass die für die Beteiligten Im Rahmen des Prozesses wesentlichen inhaltlichen Vorgänge ihnen gegenüber öffentlich sind. </w:t>
      </w:r>
    </w:p>
    <w:p w14:paraId="05A6F276" w14:textId="77777777" w:rsidR="00DB5920" w:rsidRPr="007F7427" w:rsidRDefault="00DB5920" w:rsidP="00DB5920">
      <w:pPr>
        <w:ind w:left="708"/>
        <w:rPr>
          <w:i/>
        </w:rPr>
      </w:pPr>
      <w:r w:rsidRPr="007F7427">
        <w:rPr>
          <w:i/>
        </w:rPr>
        <w:t xml:space="preserve">“Das Grundgesetz sichert rechtliches Gehör im gerichtlichen Verfahren durch das Verfahrensgrundrecht des Art. 103 </w:t>
      </w:r>
      <w:r>
        <w:rPr>
          <w:i/>
        </w:rPr>
        <w:t>Abs. 1</w:t>
      </w:r>
      <w:r w:rsidRPr="007F7427">
        <w:rPr>
          <w:i/>
        </w:rPr>
        <w:t xml:space="preserve"> GG. Rechtliches Gehör ist nicht nur ein „prozessuales Urrecht” des Menschen, sondern auch ein objektivrechtliches Verfahrensprinzip, das für ein rechtsstaatliches Verfahren im Sinne des Grundgesetzes schlechthin konstitutiv ist (vgl. BVerfGE 55, 1 [6] = NJW 1980, 2698). Seine rechtsstaatliche Bedeutung ist auch in dem Anspruch auf ein faires Verfahren gem. Art. 6 </w:t>
      </w:r>
      <w:r>
        <w:rPr>
          <w:i/>
        </w:rPr>
        <w:t>Abs. 1</w:t>
      </w:r>
      <w:r w:rsidRPr="007F7427">
        <w:rPr>
          <w:i/>
        </w:rPr>
        <w:t xml:space="preserve"> der Europäischen Menschenrechtskonvention (EMRK) sowie in Art. 47 </w:t>
      </w:r>
      <w:r>
        <w:rPr>
          <w:i/>
        </w:rPr>
        <w:t>Abs. 2</w:t>
      </w:r>
      <w:r w:rsidRPr="007F7427">
        <w:rPr>
          <w:i/>
        </w:rPr>
        <w:t xml:space="preserve"> der Europäischen Grundrechte-Charta anerkannt. Der Einzelne soll nicht nur Objekt der richterlichen Entscheidung sein, sondern vor einer Entscheidung, die seine Rechte betrifft, zu Wort kommen, um als Subjekt Einfluss auf das Verfahren und sein Ergebnis nehmen zu können (vgl. BVerfGE 9, 89 [95] = NJW 1959, 427). Rechtliches Gehör sichert den Parteien ein Recht auf Information, Äußerung und Berücksichtigung mit der Folge, dass sie ihr Verhalten im Prozess eigenbestimmt und situationsspezifisch gestalten können. </w:t>
      </w:r>
      <w:r w:rsidRPr="00855336">
        <w:rPr>
          <w:i/>
        </w:rPr>
        <w:t>Insbesondere sichert es, dass sie mit Ausführungen und Anträgen gehört werden.“</w:t>
      </w:r>
    </w:p>
    <w:p w14:paraId="70B05CAD" w14:textId="77777777" w:rsidR="00DB5920" w:rsidRDefault="00DB5920" w:rsidP="00DB5920">
      <w:pPr>
        <w:ind w:left="708"/>
      </w:pPr>
      <w:r w:rsidRPr="00DE50D8">
        <w:t>BVerfG, Beschlu</w:t>
      </w:r>
      <w:r>
        <w:t>ss</w:t>
      </w:r>
      <w:r w:rsidRPr="00DE50D8">
        <w:t xml:space="preserve"> vom 30.4.2003 - 1 PBvU 1/02</w:t>
      </w:r>
      <w:r>
        <w:t>, NJW 2003, 1924.</w:t>
      </w:r>
    </w:p>
    <w:p w14:paraId="38E04173" w14:textId="78D101C3" w:rsidR="00DB5920" w:rsidRDefault="00DB5920" w:rsidP="000D664F">
      <w:r>
        <w:t xml:space="preserve">Die Verfahrens- und Beteiligungsrechte </w:t>
      </w:r>
      <w:r w:rsidR="00D15868">
        <w:t>der</w:t>
      </w:r>
      <w:r>
        <w:t xml:space="preserve"> </w:t>
      </w:r>
      <w:r w:rsidR="00D15868">
        <w:t xml:space="preserve">Beschwerdeführerin </w:t>
      </w:r>
      <w:r>
        <w:t>i.S.d. Art. 19 Abs. 4 GG und Art. 103 Abs. 1 GG sind mangels einer sachgemäßen Stellungnahmemöglichkeit im Rahmen des In-Camera-Verfahrens nach § 99 Abs. 2 VwGO betroffen.</w:t>
      </w:r>
      <w:r w:rsidRPr="00002237">
        <w:t xml:space="preserve"> </w:t>
      </w:r>
      <w:r>
        <w:t xml:space="preserve">Im Rahmen dieses Zwischenverfahrens konnte </w:t>
      </w:r>
      <w:r w:rsidR="00D15868">
        <w:t>die</w:t>
      </w:r>
      <w:r>
        <w:t xml:space="preserve"> </w:t>
      </w:r>
      <w:r w:rsidR="00D15868">
        <w:t xml:space="preserve">Beschwerdeführerin </w:t>
      </w:r>
      <w:r>
        <w:t xml:space="preserve">lediglich zu dem abstrakten Vortrag des BND Stellung </w:t>
      </w:r>
      <w:r>
        <w:lastRenderedPageBreak/>
        <w:t xml:space="preserve">nehmen. Zu den Einschätzungen des Fachsenats war eine Stellungnahme dagegen zu keinem Zeitpunkt möglich. Konkrete Angaben zu den Akten und Weigerungsgründen wurden </w:t>
      </w:r>
      <w:r w:rsidR="00D15868">
        <w:t>der</w:t>
      </w:r>
      <w:r>
        <w:t xml:space="preserve"> </w:t>
      </w:r>
      <w:r w:rsidR="00D15868">
        <w:t xml:space="preserve">Beschwerdeführerin </w:t>
      </w:r>
      <w:r>
        <w:t xml:space="preserve">erst mit dem Beschluss des Fachsenats mitgeteilt. In diesem Beschluss macht der Fachsenat erstmals konkretere Angaben zu den Weigerungsgründen und Akteninhalten. Zu diesen Angaben bestand für </w:t>
      </w:r>
      <w:r w:rsidR="00D15868">
        <w:t xml:space="preserve">die Beschwerdeführerin </w:t>
      </w:r>
      <w:r>
        <w:t xml:space="preserve">jedoch keine Stellungnahmemöglichkeit. </w:t>
      </w:r>
      <w:r w:rsidR="00D15868">
        <w:t xml:space="preserve">Ihre </w:t>
      </w:r>
      <w:r>
        <w:t xml:space="preserve">Stellungnahmen mussten vielmehr in Unkenntnis der Akten und in Unkenntnis der Erwägungen des Gerichts „ins Blaue hinein“ getätigt werden. </w:t>
      </w:r>
    </w:p>
    <w:p w14:paraId="0E3BA223" w14:textId="64E326E0" w:rsidR="00DB5920" w:rsidRDefault="00D15868" w:rsidP="00DB5920">
      <w:r>
        <w:t>Ihr</w:t>
      </w:r>
      <w:r w:rsidR="00DB5920">
        <w:t xml:space="preserve"> Recht auf Gewährung rechtlichen Gehörs aus Art. 103 Abs. 1 GG ist insoweit durch die fehlende Möglichkeit konkreter Äußerungen und Stellungnahmen hierzu erheblich beeinträchtigt.</w:t>
      </w:r>
    </w:p>
    <w:p w14:paraId="20C7C586" w14:textId="61166E03" w:rsidR="00DB5920" w:rsidRDefault="00DB5920" w:rsidP="00DB5920">
      <w:r>
        <w:t xml:space="preserve">In Zusammenwirkung mit der Verletzung des effektiven Rechtsschutzes führt dies zu einer tiefgreifenden Verletzung der Justizgrundrechte </w:t>
      </w:r>
      <w:r w:rsidR="00D15868">
        <w:t>der Beschwerdeführerin</w:t>
      </w:r>
      <w:r>
        <w:t xml:space="preserve">. Da sich der erkennende Senat des BVerwG aufgrund einer materiell-rechtlich präjudiziellen Wirkung des In-Camera-Beschlusses an dessen Feststellungen gebunden sah, führt die fehlende Möglichkeit einer Stellungnahme im Zwischenverfahren zu einem Ausschluss sämtlicher Einflussnahmemöglichkeiten </w:t>
      </w:r>
      <w:r w:rsidR="00D15868">
        <w:t>der Beschwerdeführerin</w:t>
      </w:r>
      <w:r>
        <w:t xml:space="preserve"> auf die Entscheidung des erkennenden Senates des BVerwG. Der erkennende Senat hatte selbst keinen Zugang zu den für seine Entscheidung maßgeblichen Dokumenten und entschied insofern „blind“ anhand der Feststellungen des Fachsenats. Genauso „blind“ war daher auch </w:t>
      </w:r>
      <w:r w:rsidR="00D15868">
        <w:t>die Beschwerdeführerin</w:t>
      </w:r>
      <w:r>
        <w:t xml:space="preserve"> im Rahmen </w:t>
      </w:r>
      <w:r w:rsidR="00D15868">
        <w:t>ihres</w:t>
      </w:r>
      <w:r>
        <w:t xml:space="preserve"> Vortrags vor dem erkennenden Senat</w:t>
      </w:r>
      <w:r w:rsidR="00D15868">
        <w:t xml:space="preserve"> des BVerwG</w:t>
      </w:r>
      <w:r>
        <w:t xml:space="preserve">. Soweit </w:t>
      </w:r>
      <w:r w:rsidR="00D15868">
        <w:t>die Beschwerdeführerin</w:t>
      </w:r>
      <w:r>
        <w:t xml:space="preserve"> gegenüber dem erkennenden Senat Möglichkeiten der Stellungnahme hatte, konnte der Senat diese nicht im Kontext der streitgegenständlichen Akten beurteilen, da er die Akten nicht kannte. Auch blieb die Sperrerklärung des Bundeskanzleramts in </w:t>
      </w:r>
      <w:r w:rsidR="00D15868">
        <w:t>ihren</w:t>
      </w:r>
      <w:r>
        <w:t xml:space="preserve"> Ausführungen abstrakt</w:t>
      </w:r>
      <w:r w:rsidR="00D15868">
        <w:t>.</w:t>
      </w:r>
    </w:p>
    <w:p w14:paraId="2AF170FC" w14:textId="7A46B208" w:rsidR="00DB5920" w:rsidRDefault="00DB5920" w:rsidP="00DB5920">
      <w:r>
        <w:t xml:space="preserve">Insofern war die Entscheidungsgrundlage des erkennenden Senats zweigeteilt. Einerseits blieben die begehrten Signaturen der Einsicht durch den erkennenden Senat verwehrt, andererseits war eine sachgerechte Beurteilung des Vortrags </w:t>
      </w:r>
      <w:r w:rsidR="00D15868">
        <w:t>der Beschwerdeführerin</w:t>
      </w:r>
      <w:r>
        <w:t xml:space="preserve"> ohne konkreten Aktenbezug nicht möglich. Das Ergebnis der materiell-rechtlich präjudiziellen Wirkung des Beschlusses des Fachsenats des BVerwG vermag zwar einer inhaltlichen Einsichtnahme in die streitgegenständlichen Verwaltungsakten durch </w:t>
      </w:r>
      <w:r w:rsidRPr="00855336">
        <w:rPr>
          <w:i/>
          <w:iCs/>
        </w:rPr>
        <w:t>ein Gericht</w:t>
      </w:r>
      <w:r>
        <w:t xml:space="preserve"> – hier den Fachsenat – i.S.d. Art. 19 Abs. 4 GG genügen, nicht jedoch einer Möglichkeit </w:t>
      </w:r>
      <w:r w:rsidR="00D15868">
        <w:t>der Beschwerdeführerin</w:t>
      </w:r>
      <w:r>
        <w:t>, sachgemäß und effektiv auf das Verfahren einwirken zu können, um die Entscheidung des für ihn maßgeblichen Gerichts – hier der erkennende Senat – zu beeinflussen.</w:t>
      </w:r>
    </w:p>
    <w:p w14:paraId="0B883C15" w14:textId="323451FD" w:rsidR="00DB5920" w:rsidRDefault="00D15868" w:rsidP="00DB5920">
      <w:r>
        <w:lastRenderedPageBreak/>
        <w:t>Die Beschwerdeführerin</w:t>
      </w:r>
      <w:r w:rsidR="00DB5920">
        <w:t xml:space="preserve"> konnte sich insbesondere nicht sachgemäß zu den Weigerungsgründen i.S.d. § 99 Abs. 1 S. 3 VwGO äußern. </w:t>
      </w:r>
      <w:r w:rsidR="006E5EEE">
        <w:t>Sie</w:t>
      </w:r>
      <w:r w:rsidR="00DB5920">
        <w:t xml:space="preserve"> hatte keine Gelegenheit zu einer fundierten Stellungnahme im Rahmen des In-Camera-Verfahrens. Insbesondere konnte der Vortrag ausschließlich abstrakt anhand des bisherigen Vortrags des BND erfolgen. Dieser Vortrag </w:t>
      </w:r>
      <w:r>
        <w:t>der Beschwerdeführerin</w:t>
      </w:r>
      <w:r w:rsidR="00DB5920">
        <w:t xml:space="preserve"> hatte jedoch auf die Entscheidung des Fachsenats keine Auswirkung.</w:t>
      </w:r>
    </w:p>
    <w:p w14:paraId="0C7BFB4A" w14:textId="768DD47B" w:rsidR="00DB5920" w:rsidRDefault="00DB5920" w:rsidP="00DB5920">
      <w:r>
        <w:t xml:space="preserve">Vor dem erkennenden Senat </w:t>
      </w:r>
      <w:r w:rsidR="006E5EEE">
        <w:t xml:space="preserve">des BVerwG </w:t>
      </w:r>
      <w:r>
        <w:t xml:space="preserve">wurde </w:t>
      </w:r>
      <w:r w:rsidR="00D15868">
        <w:t>die Beschwerdeführerin</w:t>
      </w:r>
      <w:r>
        <w:t xml:space="preserve"> wiederum gezwungen, zu Sachverhalten vorzutragen, die weder </w:t>
      </w:r>
      <w:r w:rsidR="006E5EEE">
        <w:t>sie</w:t>
      </w:r>
      <w:r>
        <w:t xml:space="preserve"> noch der Senat im Einzelnen kannte. Ein sachgemäßer Vortrag war dadurch von vornherein nicht möglich. Der Vortrag </w:t>
      </w:r>
      <w:r w:rsidR="00D15868">
        <w:t>der Beschwerdeführerin</w:t>
      </w:r>
      <w:r>
        <w:t xml:space="preserve"> vor dem erkennenden Senat wurde aufgrund der präjudiziellen Wirkung des Beschlusses des Fachsenats für den erkennenden Senat seiner prozessualen Wirkung beraubt. Denn eine inhaltliche Auseinandersetzung mit seinem Vortrag findet in dem Urteil des BVerwG nicht statt. Der erkennende Senat sieht sich vielmehr an die Entscheidung des Fachsenats bezüglich des Vorliegens von Weigerungsgründen i.S.d. § 99 Abs. 1 S. 3 VwGO gebunden und weist aus diesem Grund die Klage </w:t>
      </w:r>
      <w:r w:rsidR="00D15868">
        <w:t>der Beschwerdeführerin</w:t>
      </w:r>
      <w:r>
        <w:t xml:space="preserve"> ab.</w:t>
      </w:r>
    </w:p>
    <w:p w14:paraId="0B63EE46" w14:textId="49953FA7" w:rsidR="00DB5920" w:rsidRDefault="00DB5920" w:rsidP="00DB5920">
      <w:r>
        <w:t xml:space="preserve">Erschwerend hinzu kommt, dass </w:t>
      </w:r>
      <w:r w:rsidR="006E5EEE">
        <w:t>der</w:t>
      </w:r>
      <w:r>
        <w:t xml:space="preserve"> Beschwerdeführer</w:t>
      </w:r>
      <w:r w:rsidR="006E5EEE">
        <w:t>in</w:t>
      </w:r>
      <w:r>
        <w:t xml:space="preserve"> gegen das erst- und letztinstanzliche Urteil des BVerwG kein Rechtsmittel zur Verfügung</w:t>
      </w:r>
      <w:r w:rsidRPr="002327D6">
        <w:t xml:space="preserve"> </w:t>
      </w:r>
      <w:r>
        <w:t xml:space="preserve">steht. Auch gegen den In-Camera-Beschluss des Fachsenats besteht kein Rechtsweg. </w:t>
      </w:r>
      <w:r w:rsidRPr="00B04909">
        <w:t>§ 99 Abs. 2 S. 12 VwGO sieht vor, dass gegen die Entscheidung des Fachsenats an den Oberverwaltungsgerichten die Beschwerde an das BVerwG möglich ist</w:t>
      </w:r>
      <w:r>
        <w:t>.</w:t>
      </w:r>
      <w:r w:rsidRPr="00B04909">
        <w:t xml:space="preserve"> Nach § 99 Abs. 2 S. 11 </w:t>
      </w:r>
      <w:r>
        <w:t xml:space="preserve">gilt dies jedoch nicht für Beschlüsse des BVerwG. Ein Rechtsweg gegen Beschlüsse des BVerwG besteht nicht. </w:t>
      </w:r>
    </w:p>
    <w:p w14:paraId="13B8A33D" w14:textId="77777777" w:rsidR="00DB5920" w:rsidRDefault="00DB5920" w:rsidP="00DB5920">
      <w:r>
        <w:t xml:space="preserve">Von Art. 19 Abs. 4 GG erfasst wird regelmäßig auch der Anspruch des Einzelnen, staatliche Eingriffe im Regelfall einer gerichtlichen Überprüfung zuführen zu können. Art. 19 Abs. 4 GG garantiert, dass eine den Einzelnen beeinträchtigende hoheitliche Maßnahme in einem gerichtlichen Verfahren überprüft werden kann. </w:t>
      </w:r>
    </w:p>
    <w:p w14:paraId="2D5B0A4B" w14:textId="77777777" w:rsidR="00DB5920" w:rsidRDefault="00DB5920" w:rsidP="00DB5920">
      <w:r>
        <w:tab/>
        <w:t xml:space="preserve">Vgl. </w:t>
      </w:r>
      <w:r w:rsidRPr="00FE5F87">
        <w:t>BVerfG, Beschlu</w:t>
      </w:r>
      <w:r>
        <w:t>ss</w:t>
      </w:r>
      <w:r w:rsidRPr="00FE5F87">
        <w:t xml:space="preserve"> vom 30. 4. 2003 - 1 PBvU 1/02, NJW 2003, 1924</w:t>
      </w:r>
      <w:r>
        <w:t>.</w:t>
      </w:r>
    </w:p>
    <w:p w14:paraId="18A69C64" w14:textId="77777777" w:rsidR="00DB5920" w:rsidRPr="0072685D" w:rsidRDefault="00DB5920" w:rsidP="00DB5920">
      <w:r w:rsidRPr="0072685D">
        <w:t>Zwar ergibt sich aus Art. 19 Abs. 4 GG in Bezug auf den Rechtsweg und Instanzenzug das Prozessrecht keine Verpflichtung des Gesetzgebers, stets einen Instanzenzug bereitzuhalten.</w:t>
      </w:r>
    </w:p>
    <w:p w14:paraId="4ACA6432" w14:textId="77777777" w:rsidR="00DB5920" w:rsidRPr="0072685D" w:rsidRDefault="00DB5920" w:rsidP="00DB5920">
      <w:pPr>
        <w:ind w:left="708"/>
      </w:pPr>
      <w:r w:rsidRPr="0072685D">
        <w:t>vgl. BVerfGE 42, 243 (284) = NJW 1976, 1837 m.W.n.; BVerfGE 54, 277 (291) = NJW 1981, 39 BVerfG, BVerfG Beschluß vom 12-07-1983 - 1 BvR 1470/82, NJW 1983, 2929, beck-online</w:t>
      </w:r>
    </w:p>
    <w:p w14:paraId="5172B106" w14:textId="77777777" w:rsidR="00DB5920" w:rsidRPr="0072685D" w:rsidRDefault="00DB5920" w:rsidP="00DB5920">
      <w:r>
        <w:lastRenderedPageBreak/>
        <w:t>D</w:t>
      </w:r>
      <w:r w:rsidRPr="0072685D">
        <w:t xml:space="preserve">er Gesetzgeber </w:t>
      </w:r>
      <w:r>
        <w:t>muss jedoch eine angemessene Kontrolle der Verletzung des Verfahrensgrundrechts vorsehen.</w:t>
      </w:r>
    </w:p>
    <w:p w14:paraId="37FE0B5F" w14:textId="77777777" w:rsidR="00DB5920" w:rsidRPr="0072685D" w:rsidRDefault="00DB5920" w:rsidP="00DB5920">
      <w:pPr>
        <w:ind w:left="708"/>
        <w:rPr>
          <w:i/>
        </w:rPr>
      </w:pPr>
      <w:r w:rsidRPr="0072685D">
        <w:rPr>
          <w:i/>
        </w:rPr>
        <w:t>„Der Gesetzgeber ist nicht gehalten, die Anrufung einer weiteren Instanz vorzusehen. Die Besonderheit des auf die Überprüfung der Beachtung von Art. 103 I GG gerichteten Rechtsschutzes erlaubt es ihm vielmehr, von der Eröffnung des Rechtsmittelzugs Abstand zu nehmen, sofern er eine angemessene Kontrolle der Verletzung des Verfahrensgrundrechts anderweitig vorsieht. Dafür kommt auch ein Rechtsbehelf an das Gericht in Betracht, dessen Verfahrenshandlung als fehlerhaft gerügt wird (iudex a quo), sofern auf diese Weise der Mangel effektiv beseitigt werden kann.“</w:t>
      </w:r>
    </w:p>
    <w:p w14:paraId="28070D56" w14:textId="77777777" w:rsidR="00DB5920" w:rsidRPr="0072685D" w:rsidRDefault="00DB5920" w:rsidP="00DB5920">
      <w:pPr>
        <w:ind w:left="708"/>
      </w:pPr>
      <w:r w:rsidRPr="0072685D">
        <w:t>BVerfG, Beschlu</w:t>
      </w:r>
      <w:r>
        <w:t>ss</w:t>
      </w:r>
      <w:r w:rsidRPr="0072685D">
        <w:t xml:space="preserve"> vom 30. 4. 2003 - 1 PBvU 1/02 , NJW 2003, NJW 2003, 1924</w:t>
      </w:r>
    </w:p>
    <w:p w14:paraId="31975D35" w14:textId="77777777" w:rsidR="00DB5920" w:rsidRPr="0072685D" w:rsidRDefault="00DB5920" w:rsidP="00DB5920">
      <w:r w:rsidRPr="0072685D">
        <w:t>Soweit im Gesetz mehrere Instanzen geschaffen wurden, ist es mit der Garantiefunktion des Art. 19 Abs. 4 GG jedenfalls unvereinbar, wenn der Zugang zu einem Rechtsbehelf in sachlich nicht zu rechtfertigender Weise unzumutbar erschwert wird.</w:t>
      </w:r>
    </w:p>
    <w:p w14:paraId="16DF803D" w14:textId="77777777" w:rsidR="00DB5920" w:rsidRPr="0022011D" w:rsidRDefault="00DB5920" w:rsidP="00DB5920">
      <w:pPr>
        <w:ind w:left="708"/>
        <w:rPr>
          <w:highlight w:val="yellow"/>
        </w:rPr>
      </w:pPr>
      <w:r w:rsidRPr="0072685D">
        <w:t>Vgl. B</w:t>
      </w:r>
      <w:r w:rsidRPr="0072685D">
        <w:rPr>
          <w:rFonts w:eastAsiaTheme="majorEastAsia"/>
        </w:rPr>
        <w:t>VerfG</w:t>
      </w:r>
      <w:r w:rsidRPr="0072685D">
        <w:t>, Beschlu</w:t>
      </w:r>
      <w:r>
        <w:t>ss</w:t>
      </w:r>
      <w:r w:rsidRPr="0072685D">
        <w:t xml:space="preserve"> vom 30.04.1997 - 2 BvR 817/90 - NJW 1997, 2163; BVerfG, Beschl.  vom 29. 7. 2010 - 1 BvR 1634/04NVwZ 2010, 1482 Rn. 50.</w:t>
      </w:r>
    </w:p>
    <w:p w14:paraId="174770AA" w14:textId="77777777" w:rsidR="00DB5920" w:rsidRPr="0072685D" w:rsidRDefault="00DB5920" w:rsidP="00DB5920">
      <w:r w:rsidRPr="0072685D">
        <w:t xml:space="preserve">Diesen Vorgaben genügt das gegenständliche Verfahren vor dem BVerwG nicht. </w:t>
      </w:r>
    </w:p>
    <w:p w14:paraId="4E444E0F" w14:textId="10016598" w:rsidR="006E5EEE" w:rsidRDefault="00DB5920" w:rsidP="00DB5920">
      <w:r w:rsidRPr="00B04909">
        <w:t>De</w:t>
      </w:r>
      <w:r w:rsidR="006E5EEE">
        <w:t>r</w:t>
      </w:r>
      <w:r w:rsidRPr="00B04909">
        <w:t xml:space="preserve"> Beschwerdeführer</w:t>
      </w:r>
      <w:r w:rsidR="006E5EEE">
        <w:t>in</w:t>
      </w:r>
      <w:r w:rsidRPr="00B04909">
        <w:t xml:space="preserve"> ist keine Rechtsmittelmöglichkeit gegen das Urteil des BVerwG sowie den Beschluss des Fachsenats eröffnet. Materiell-rechtlich </w:t>
      </w:r>
      <w:r>
        <w:t>wurde</w:t>
      </w:r>
      <w:r w:rsidRPr="00B04909">
        <w:t xml:space="preserve"> das Urteil</w:t>
      </w:r>
      <w:r>
        <w:t xml:space="preserve"> des BVerwG zudem</w:t>
      </w:r>
      <w:r w:rsidRPr="00B04909">
        <w:t xml:space="preserve"> in einem Verfahren determiniert, das unter Ausschluss </w:t>
      </w:r>
      <w:r w:rsidR="00D15868">
        <w:t>der Beschwerdeführerin</w:t>
      </w:r>
      <w:r w:rsidRPr="00B04909">
        <w:t xml:space="preserve"> durchgeführt </w:t>
      </w:r>
      <w:r>
        <w:t>wurde</w:t>
      </w:r>
      <w:r w:rsidRPr="00B04909">
        <w:t xml:space="preserve">. </w:t>
      </w:r>
      <w:r w:rsidR="006E5EEE">
        <w:t>Ihre</w:t>
      </w:r>
      <w:r w:rsidRPr="00B04909">
        <w:t xml:space="preserve"> Stellungnahmen vor dem erkennenden Senat </w:t>
      </w:r>
      <w:r>
        <w:t>gingen insofern</w:t>
      </w:r>
      <w:r w:rsidRPr="00B04909">
        <w:t xml:space="preserve"> materiell-rechtlich ins Leere. Es besteht keinerlei Möglichkeit, auf die Frage des Vorliegens der Weigerungsgründe i.S.d. § 99 Abs. 1 S. 3 VwGO Einfluss zu nehmen. </w:t>
      </w:r>
      <w:r w:rsidR="006E5EEE">
        <w:t xml:space="preserve">Da der erkennende Senat des BVerwG sich für die materiell-rechlitche Prüfung der Ausschlussgründe aus § 13 Abs. 1 BArchG an den Beschluss des Fachsenats gebunden fühlt, konnte die Beschwerdeführerin auch zu dieser Thematik nicht gehört werden. </w:t>
      </w:r>
    </w:p>
    <w:p w14:paraId="2AB9EEB2" w14:textId="3EB8AFFD" w:rsidR="00DB5920" w:rsidRDefault="00DB5920" w:rsidP="00DB5920">
      <w:r w:rsidRPr="00B04909">
        <w:t xml:space="preserve">Die Effektivität des Rechtsschutzes </w:t>
      </w:r>
      <w:r w:rsidR="00D15868">
        <w:t>der Beschwerdeführerin</w:t>
      </w:r>
      <w:r w:rsidRPr="00B04909">
        <w:t xml:space="preserve"> ist gänzlich ausgeschlossen</w:t>
      </w:r>
      <w:r>
        <w:t>, soweit er der Entscheidungen des Fachsenats und des erkennenden Senats ausgeliefert ist, ohne dass ihm ein Rechtsweg zusteht.</w:t>
      </w:r>
    </w:p>
    <w:p w14:paraId="33F2ED82" w14:textId="4F099881" w:rsidR="00DB5920" w:rsidRPr="00B04909" w:rsidRDefault="006E5EEE" w:rsidP="00DB5920">
      <w:pPr>
        <w:pStyle w:val="berschrift6"/>
      </w:pPr>
      <w:r>
        <w:lastRenderedPageBreak/>
        <w:t xml:space="preserve">Keine </w:t>
      </w:r>
      <w:r w:rsidR="00DB5920">
        <w:t>Rechtfertigung</w:t>
      </w:r>
    </w:p>
    <w:p w14:paraId="098E6D05" w14:textId="20A322EE" w:rsidR="00DB5920" w:rsidRDefault="00DB5920" w:rsidP="00DB5920">
      <w:r>
        <w:t>Dieser Eingriff in Art. 19 Abs. 4 GG und Art. 103 Abs. 1 GG ist nicht durch besondere Geheimhaltungsgründe gerechtfertigt.</w:t>
      </w:r>
    </w:p>
    <w:p w14:paraId="37F915A9" w14:textId="0FEBB30E" w:rsidR="00DB5920" w:rsidRDefault="00DB5920" w:rsidP="00DB5920">
      <w:r>
        <w:t>Der Grundsatz der Beteiligtenöffentlichkeit gilt nicht unbeschränkt, obwohl Art. 103 Abs. 1 GG und Art. 19 Abs. 4 GG vorbehaltlos formuliert sind. Sachliche Gründe von Verfassungsrang können eine Einschränkung rechtfertigen.</w:t>
      </w:r>
    </w:p>
    <w:p w14:paraId="69C0BAC0" w14:textId="77777777" w:rsidR="00DB5920" w:rsidRDefault="00DB5920" w:rsidP="00DB5920">
      <w:pPr>
        <w:ind w:left="708"/>
      </w:pPr>
      <w:r>
        <w:t>Vgl. Huber, in Mangold/Klein/Starck, GG, Art. 19 Abs. 4 Rn. 372; Schmidt-Assmann, in: Maunz/Dürig, GG, Art.</w:t>
      </w:r>
    </w:p>
    <w:p w14:paraId="21C94718" w14:textId="77777777" w:rsidR="00DB5920" w:rsidRDefault="00DB5920" w:rsidP="00DB5920">
      <w:r>
        <w:t xml:space="preserve">Wenngleich es im verwaltungsprozessrechtlichen Instanzenzug bei Verfahren, in denen das BVerwG erst- und letztinstanzlich zuständig ist, keine nächsthöhere Instanz gibt, hat das BVerfG entschieden, dass auch ein Rechtsbehelf am </w:t>
      </w:r>
      <w:r w:rsidRPr="007F7427">
        <w:rPr>
          <w:i/>
        </w:rPr>
        <w:t>iudex a quo</w:t>
      </w:r>
      <w:r>
        <w:t xml:space="preserve"> in Betracht kommt, um einem Mangel an effektivem Rechtschutz entgegenzuwirken.</w:t>
      </w:r>
    </w:p>
    <w:p w14:paraId="41B93A69" w14:textId="492A7420" w:rsidR="00DB5920" w:rsidRDefault="00DB5920" w:rsidP="00DB5920">
      <w:r>
        <w:t xml:space="preserve">Auch ohne Rechtsmittel hätte </w:t>
      </w:r>
      <w:r w:rsidR="000D77EF">
        <w:t>der</w:t>
      </w:r>
      <w:r>
        <w:t xml:space="preserve"> Beschwerdeführer</w:t>
      </w:r>
      <w:r w:rsidR="000D77EF">
        <w:t>in</w:t>
      </w:r>
      <w:r>
        <w:t xml:space="preserve"> oder jedenfalls </w:t>
      </w:r>
      <w:r w:rsidR="000D77EF">
        <w:t xml:space="preserve">ihren </w:t>
      </w:r>
      <w:r>
        <w:t>Prozessbevollmächtigten die Möglichkeit gegeben werden müssen, im In-Camera-Verfahren zu den durch das BND vorgelegten Akten Stellung zu nehmen. Der Gesetzgeber oder das Gericht haben eine prozessuale Möglichkeit zur Verfügung zu stellen, der einen effektiven Rechtsschutz auch in Geheimschutzsachen ermöglicht. Denn auch Gründe, die eine Beteiligtenöffentlichkeit einschränken, rechtfertigen es verfassungsrechtlich nicht, den Beteiligten seiner Verfahrensrechte zu berauben.</w:t>
      </w:r>
    </w:p>
    <w:p w14:paraId="7A02AE0D" w14:textId="7AF58CB5" w:rsidR="00DB5920" w:rsidRDefault="00DB5920" w:rsidP="00DB5920">
      <w:r>
        <w:t xml:space="preserve">Die vom BVerwG angenommene materiell-rechtliche präjudizielle Wirkung verstärkt dies um ein Vielfaches. Denn durch die materiell-rechtliche Bindung werden auch die gegebenen prozessualen Einwirkungsmöglichkeiten </w:t>
      </w:r>
      <w:r w:rsidR="00D15868">
        <w:t>der Beschwerdeführerin</w:t>
      </w:r>
      <w:r>
        <w:t xml:space="preserve"> in dem Verfahren vor dem erkennenden Senat erheblich gemindert. Die Möglichkeiten </w:t>
      </w:r>
      <w:r w:rsidR="00D15868">
        <w:t>der Beschwerdeführerin</w:t>
      </w:r>
      <w:r>
        <w:t xml:space="preserve"> zur Stellungnahme werden beinahe wirkungslos, soweit der Senat eine materiell-rechtliche Entscheidung selbst nicht trifft.</w:t>
      </w:r>
    </w:p>
    <w:p w14:paraId="53DC15BE" w14:textId="77777777" w:rsidR="00DB5920" w:rsidRDefault="00DB5920" w:rsidP="00DB5920">
      <w:r>
        <w:t>Das Verfahren, das dem mit dieser Verfassungsbeschwerde angegriffenen Urteil des BVerwG zugrunde liegt entspricht mithin nicht den Vorgaben der Art. 19 Abs. 4 GG und Art. 103 Abs. 1 GG.</w:t>
      </w:r>
    </w:p>
    <w:p w14:paraId="64C52E7D" w14:textId="2E41B6D6" w:rsidR="000D77EF" w:rsidRDefault="000D77EF" w:rsidP="000D77EF">
      <w:pPr>
        <w:pStyle w:val="berschrift6"/>
      </w:pPr>
      <w:r>
        <w:lastRenderedPageBreak/>
        <w:t xml:space="preserve">Gehörsrechtsverletzung wegen Missachtung </w:t>
      </w:r>
      <w:r w:rsidR="00AA5841">
        <w:t xml:space="preserve">des </w:t>
      </w:r>
      <w:r>
        <w:t>Vortrages vom 21. Mai 2026</w:t>
      </w:r>
    </w:p>
    <w:p w14:paraId="493C7291" w14:textId="20D134D4" w:rsidR="000D77EF" w:rsidRDefault="000D77EF" w:rsidP="000D664F">
      <w:r>
        <w:t xml:space="preserve">Mit Schriftsatz vom 21. Mai 2026 (b.v.) hat die Beschwerdeführerin zur angeblichen präjudiziellen Wirkung des Beschlusses des Fachsenats umfänglich vorgetragen. Der wesentliche Inhalt der Argumente ist oben im Sachverhalt dargestellt. Das BVerwG hat sich mit dem Sach- und Rechtsvortrag der Beschwerdeführerin nicht befasst. Es stellt lediglich in einem kurzen Absatz fest, dass § 13 Abs. 1 BArchG kein Ermessen vorsehe. Dabei hatte die Beschwerdeführerin umfänglich dargelegt, dass jedenfalls auf der Rechtsfolgenseite zwischen § 13 Abs. 1 BArchG und § 99 VwGO kein faktischer Gleichlauf besteht, weil die von der Behörde zu treffende Entscheidung (Offenlegung, Teilfreigabe, vollständige Geheimhaltung) immer im Rahmen und am Maßstab des jeweiligen Gesetzes festzumachen ist. VwGO und BArchG haben unterschiedliche Anwendungsbereiche und unterschiedliche Zwecke. </w:t>
      </w:r>
    </w:p>
    <w:p w14:paraId="1777A413" w14:textId="2A100C81" w:rsidR="000D77EF" w:rsidRPr="000D77EF" w:rsidRDefault="000D77EF" w:rsidP="000D77EF">
      <w:r>
        <w:t>Diesen Vortrag hat das BVerwG nicht gewürdigt und damit den Anspruch auch rechtliches Gehör verletzt.</w:t>
      </w:r>
    </w:p>
    <w:p w14:paraId="5914C983" w14:textId="414EB1B9" w:rsidR="00F95EF4" w:rsidRDefault="00F95EF4" w:rsidP="00DB5920">
      <w:pPr>
        <w:pStyle w:val="berschrift4"/>
      </w:pPr>
      <w:r>
        <w:t>Verletzung der Pressefreiheit, Art. 5 Abs. 1 S. 2 GG</w:t>
      </w:r>
    </w:p>
    <w:p w14:paraId="6F15C495" w14:textId="0D163759" w:rsidR="00F95EF4" w:rsidRDefault="00F95EF4" w:rsidP="00F95EF4">
      <w:r>
        <w:t>Das Urteil des BVerwG verletzt die Beschwerdeführerin in ihrem Grundrecht auf Pressefreiheit gem. Art. 5 Abs. 1 S. 2 GG.</w:t>
      </w:r>
    </w:p>
    <w:p w14:paraId="37F067AC" w14:textId="25852A3C" w:rsidR="00F95EF4" w:rsidRDefault="00F95EF4" w:rsidP="00F95EF4">
      <w:pPr>
        <w:pStyle w:val="berschrift6"/>
        <w:numPr>
          <w:ilvl w:val="0"/>
          <w:numId w:val="22"/>
        </w:numPr>
      </w:pPr>
      <w:r>
        <w:t xml:space="preserve">Schutzbereich </w:t>
      </w:r>
    </w:p>
    <w:p w14:paraId="1CC5F047" w14:textId="77777777" w:rsidR="00F95EF4" w:rsidRDefault="00F95EF4" w:rsidP="00F95EF4">
      <w:r w:rsidRPr="008951CE">
        <w:t>Die Pressefreiheit ist in Art. 5 Abs. 1 Satz 2 GG grundrechtlich gewährleistet und schützt die Freiheit der Berichterstattung sowie die hierfür erforderliche Tätigkeit der Presse. Sie umfasst insbesondere die Beschaffung, Auswahl, Verarbeitung und Verbreitung von Informationen</w:t>
      </w:r>
      <w:r>
        <w:t>.</w:t>
      </w:r>
      <w:r w:rsidRPr="00E916E5">
        <w:t xml:space="preserve"> </w:t>
      </w:r>
      <w:r>
        <w:t>Die Pressefreiheit ist schlechthin konstituierend für die freiheitlich demokratische Grundordnung.</w:t>
      </w:r>
    </w:p>
    <w:p w14:paraId="709F8F82" w14:textId="77777777" w:rsidR="00F95EF4" w:rsidRDefault="00F95EF4" w:rsidP="00F95EF4">
      <w:pPr>
        <w:spacing w:line="276" w:lineRule="auto"/>
        <w:ind w:left="708"/>
      </w:pPr>
      <w:r>
        <w:t>BVerfG, Urteil vom 5. August 1966 – 1 BvR 586/62 –, BVerfGE 20, 162-230</w:t>
      </w:r>
    </w:p>
    <w:p w14:paraId="34516583" w14:textId="77777777" w:rsidR="00F95EF4" w:rsidRDefault="00F95EF4" w:rsidP="00F95EF4">
      <w:r>
        <w:t>Art. 5 Abs. 1 S. 2 GG</w:t>
      </w:r>
      <w:r w:rsidRPr="003F069F">
        <w:t xml:space="preserve"> </w:t>
      </w:r>
      <w:r>
        <w:t>gewährt einen unmittelbaren Leistungsanspruch der Presse</w:t>
      </w:r>
      <w:r w:rsidRPr="003F069F">
        <w:t xml:space="preserve"> </w:t>
      </w:r>
      <w:r>
        <w:t>auf Einsicht und Nutzung der begehrten Signaturen. Denn erst der prinzipiell ungehinderte Zugang zu Informationen versetzt die Presse in den Stand, die ihr in der freiheitlichen Demokratie zukommenden Funktionen wirksam wahrzunehmen.</w:t>
      </w:r>
    </w:p>
    <w:p w14:paraId="31B03306" w14:textId="77777777" w:rsidR="00F95EF4" w:rsidRDefault="00F95EF4" w:rsidP="00F95EF4">
      <w:pPr>
        <w:spacing w:after="0" w:line="276" w:lineRule="auto"/>
        <w:ind w:left="709"/>
      </w:pPr>
      <w:r>
        <w:t>Vgl. BVerfG, Beschluss vom 14. September 2015 – 1 BvR 857/15 –, Rn. 16, juris n.w.N.;</w:t>
      </w:r>
    </w:p>
    <w:p w14:paraId="4FA23E40" w14:textId="77777777" w:rsidR="00F95EF4" w:rsidRPr="003F069F" w:rsidRDefault="00F95EF4" w:rsidP="00F95EF4">
      <w:pPr>
        <w:spacing w:line="276" w:lineRule="auto"/>
        <w:ind w:left="708"/>
      </w:pPr>
      <w:r>
        <w:lastRenderedPageBreak/>
        <w:t xml:space="preserve">vgl. auch </w:t>
      </w:r>
      <w:r w:rsidRPr="003F069F">
        <w:t>BVerwGE 146, 56 zum Umfang des verfassungsunmittelbaren Auskunftsanspruch</w:t>
      </w:r>
      <w:r>
        <w:t xml:space="preserve"> sowie</w:t>
      </w:r>
      <w:r w:rsidRPr="003F069F">
        <w:t xml:space="preserve"> BVerwG NVwZ 2019, 479</w:t>
      </w:r>
      <w:r>
        <w:t xml:space="preserve">; </w:t>
      </w:r>
      <w:r w:rsidRPr="00E73C76">
        <w:t>BeckOK GG/Schemmer, 61. Ed. 15.3.2025, GG Art. 5 Rn. 47.1.</w:t>
      </w:r>
    </w:p>
    <w:p w14:paraId="1E3B0B9F" w14:textId="77777777" w:rsidR="00F95EF4" w:rsidRDefault="00F95EF4" w:rsidP="00F95EF4">
      <w:pPr>
        <w:spacing w:line="276" w:lineRule="auto"/>
      </w:pPr>
      <w:r>
        <w:t>Der Presse kommt neben einer Informations- insbesondere auch eine Kontrollfunktion zu.</w:t>
      </w:r>
    </w:p>
    <w:p w14:paraId="5A399B97" w14:textId="77777777" w:rsidR="00F95EF4" w:rsidRDefault="00F95EF4" w:rsidP="00F95EF4">
      <w:pPr>
        <w:spacing w:line="276" w:lineRule="auto"/>
        <w:ind w:left="708"/>
      </w:pPr>
      <w:r>
        <w:t>vgl. BVerfG, Beschluss der 1. Kammer des Ersten Senats vom 25. Juni 2009 - 1 BvR 134/03 -; BVerfG, Beschluss vom 14. September 2015 – 1 BvR 857/15 –, Rn. 16, juris.</w:t>
      </w:r>
    </w:p>
    <w:p w14:paraId="6F12DEF9" w14:textId="77777777" w:rsidR="00F95EF4" w:rsidRDefault="00F95EF4" w:rsidP="00F95EF4">
      <w:r w:rsidRPr="008951CE">
        <w:t>Der persönliche Schutzbereich umfasst sowohl natürliche als auch juristische Personen, die Presseerzeugnisse herausgeben oder journalistisch-redaktionell tätig sind. Im sachlichen Schutzbereich ist jede Tätigkeit erfasst, die auf eine publizistische Mitteilung an die Allgemeinheit abzielt. Nicht erforderlich ist, dass die Veröffentlichung in einer bestimmten Form erfolgt oder journalistischen Qualitätsmaßstäben genügt. Damit dient die Pressefreiheit in besonderem Maße der freien individuellen und öffentlichen Meinungsbildung sowie der Kontrolle staatlicher Gewalt.</w:t>
      </w:r>
    </w:p>
    <w:p w14:paraId="4200DE9C" w14:textId="77777777" w:rsidR="00F95EF4" w:rsidRDefault="00F95EF4" w:rsidP="00F95EF4">
      <w:pPr>
        <w:spacing w:line="276" w:lineRule="auto"/>
        <w:ind w:left="708"/>
      </w:pPr>
      <w:r>
        <w:t>BVerfG, Urteil vom 5. August 1966 – 1 BvR 586/62 –, BVerfGE 20, 162-230</w:t>
      </w:r>
    </w:p>
    <w:p w14:paraId="3668CCBB" w14:textId="77777777" w:rsidR="00F95EF4" w:rsidRDefault="00F95EF4" w:rsidP="00F95EF4">
      <w:r>
        <w:t>Grundsätzlich entscheidet die Presse in den Grenzen des Rechts selbst, ob und wie sie über ein bestimmtes Thema berichtet. Das "Ob" und "Wie" der Berichterstattung ist Teil des Selbstbestimmungsrechts der Presse, das auch die Art und Weise ihrer hierauf gerichteten Informationsbeschaffungen grundrechtlich schützt.</w:t>
      </w:r>
    </w:p>
    <w:p w14:paraId="6D82F567" w14:textId="77777777" w:rsidR="00F95EF4" w:rsidRDefault="00F95EF4" w:rsidP="00F95EF4">
      <w:pPr>
        <w:spacing w:line="276" w:lineRule="auto"/>
        <w:ind w:left="708"/>
      </w:pPr>
      <w:r>
        <w:t>BVerfG, Beschluss vom 14. September 2015 – 1 BvR 857/15 –, Rn. 16, juris m.w.N.</w:t>
      </w:r>
    </w:p>
    <w:p w14:paraId="540D5798" w14:textId="77777777" w:rsidR="00F95EF4" w:rsidRDefault="00F95EF4" w:rsidP="00F95EF4">
      <w:pPr>
        <w:spacing w:line="276" w:lineRule="auto"/>
      </w:pPr>
      <w:r>
        <w:t>Dieser Schutzbereich ist eröffnet.</w:t>
      </w:r>
    </w:p>
    <w:p w14:paraId="1EE640B5" w14:textId="6C3E9842" w:rsidR="00F95EF4" w:rsidRDefault="00F95EF4" w:rsidP="00F95EF4">
      <w:r>
        <w:t>Die Beschwerdeführerin ist Journalistin und Publizistin. In dieser Funktion recherchiert sie zu nachrichtendienstlichen Themen und der Aufarbeitung der NS-Diktatur sowie den Verstrickungen der Bundes- und Landesbehörden und anderen öffentlichen Stellen mit sogenannten „Alt-Nazis“ in der jungen Bundesrepublik.</w:t>
      </w:r>
    </w:p>
    <w:p w14:paraId="50708C77" w14:textId="4C07DACF" w:rsidR="00F95EF4" w:rsidRDefault="00F95EF4" w:rsidP="00F95EF4">
      <w:pPr>
        <w:pStyle w:val="berschrift6"/>
      </w:pPr>
      <w:r>
        <w:t xml:space="preserve">Eingriff </w:t>
      </w:r>
      <w:r w:rsidR="00E001EB">
        <w:t>ohne Rechtfertigung</w:t>
      </w:r>
    </w:p>
    <w:p w14:paraId="3A053F63" w14:textId="0664E6A4" w:rsidR="00F95EF4" w:rsidRDefault="00F95EF4" w:rsidP="00F95EF4">
      <w:r>
        <w:t xml:space="preserve">Duch die vom BVerwG verweigerte Einsicht in die streitgegenständlichen Unterlagen beim BND wird der Beschwerdeführerin ihre journalistische Tätigkeit erschwert. Sie kann keine Aktenrecherche in den Originalakten durchführen und ist dadurch gehindert, ihre Funktion als Presseorgan wahrzunehmen. </w:t>
      </w:r>
      <w:r w:rsidRPr="008951CE">
        <w:t>Eine Maßnahme, die die freie Ausübung journalistischer Tätigkeit einschränkt oder behindert, greift grundsätzlich in den Schutzbereich der Pressefreiheit ein.</w:t>
      </w:r>
      <w:r>
        <w:t xml:space="preserve"> </w:t>
      </w:r>
      <w:r>
        <w:lastRenderedPageBreak/>
        <w:t>Insbesondere fällt es in das Selbstbestimmungsrecht der Presse, aus welchen Quellen die benötigten Informationen erlangt und wie diese verwertet werden.</w:t>
      </w:r>
    </w:p>
    <w:p w14:paraId="765D9BB8" w14:textId="77777777" w:rsidR="00F95EF4" w:rsidRDefault="00F95EF4" w:rsidP="00F95EF4">
      <w:pPr>
        <w:spacing w:line="276" w:lineRule="auto"/>
        <w:ind w:left="708"/>
      </w:pPr>
      <w:r>
        <w:t>Vgl. BVerfG, Beschluss vom 08. September 2014 – 1 BvR 23/14 –, Rn. 29, juris.</w:t>
      </w:r>
    </w:p>
    <w:p w14:paraId="002BCB1F" w14:textId="6A2996C8" w:rsidR="00F95EF4" w:rsidRDefault="00F95EF4" w:rsidP="00F95EF4">
      <w:r>
        <w:t>Die Beschwerdeführerin begehrte die Nutzung nach dem BArchG als Organ der Presse zum Zwecke ihrer journalistischen und publizistischen Recherche. Diese ist als solche unmittelbar von Art. 5 Abs. 1 S. 2 GG geschützt</w:t>
      </w:r>
      <w:r w:rsidR="00BD1AEE">
        <w:t>.</w:t>
      </w:r>
      <w:r>
        <w:t xml:space="preserve"> </w:t>
      </w:r>
      <w:r w:rsidR="00BD1AEE">
        <w:t>D</w:t>
      </w:r>
      <w:r>
        <w:t xml:space="preserve">ie begehrten </w:t>
      </w:r>
      <w:r w:rsidR="00BD1AEE">
        <w:t xml:space="preserve">sind </w:t>
      </w:r>
      <w:r>
        <w:t xml:space="preserve">Informationen von zentraler Bedeutung für </w:t>
      </w:r>
      <w:r w:rsidR="00BD1AEE">
        <w:t xml:space="preserve">die </w:t>
      </w:r>
      <w:r>
        <w:t>presserechtliche Arbeit</w:t>
      </w:r>
      <w:r w:rsidR="00BD1AEE">
        <w:t xml:space="preserve"> der Beschwerdeführerin.</w:t>
      </w:r>
    </w:p>
    <w:p w14:paraId="2B1C1FAE" w14:textId="1771773C" w:rsidR="00F95EF4" w:rsidRDefault="00F95EF4" w:rsidP="00F95EF4">
      <w:r>
        <w:t xml:space="preserve">Das Urteil des BVerwG greift in diese Recherche intensiv ein, indem die Einsichtnahme bzw. Nutzung der Unterlagen verwehrt wird. </w:t>
      </w:r>
    </w:p>
    <w:p w14:paraId="518058CB" w14:textId="19E6F02B" w:rsidR="00BD1AEE" w:rsidRDefault="007136A8" w:rsidP="00F95EF4">
      <w:r>
        <w:t xml:space="preserve">Die Recherche der Beschwerdeführerin wird hier besonders behindert, weil sie nicht einmal in der Lage war, zur Sache (also zu den geltend gemachten Ausschlussgründen) vorzutragen. Hier wirken Art. 5 Abs. 1 S. 2 GG und Art. 103 Abs. 1 GG zusammen. </w:t>
      </w:r>
      <w:r w:rsidR="00E001EB">
        <w:t xml:space="preserve">Der faktische Ausschluss aus dem In-Camera-Verfahren greift nicht nur in Art. 103 Abs. 1 GG ein, sondern er behindert auch die Recherche der Beschwerdeführerin und greift damit in Art. 5 Abs. 1 S. 2 GG ein. </w:t>
      </w:r>
    </w:p>
    <w:p w14:paraId="0A8BE0CD" w14:textId="6230E0A6" w:rsidR="00E001EB" w:rsidRDefault="00E001EB" w:rsidP="00F95EF4">
      <w:r>
        <w:t xml:space="preserve">Ein Eingriff liegt auch darin, dass das BVerwG dem Beschluss des Fachsenats im In-Camera-Verfahren präjudizielle Wirkung zuspricht. Denn dadurch verwehrt das BVerwG die Möglichkeit, bei der Auslegung der Ausschlusstatbestände das Grundrecht der Pressefreiheit zu würden. Der Fachsenat hat in seiner Würdigung im Rahmen von § 99 VwGO Art. 5 GG nicht einmal erwähnt. Das ist insofern konsequent, als § 99 VwGO nicht (auch) der Presse- und Informationsfreiheit dient, sondern dem Prozessrecht entstammt und den Parteien und Gerichten einen vollständigen Streitstoff ermöglichen soll. Anders liegt es bei § 13 BArchG. Das BArchG dient (auch) der Informationsfreiheit und der Pressefreiheit. Hier müssen im Rahmen der Auslegung von Ausschlussgründen diese Grundrechte beachtet und in die Abwägung einbezogen werden. </w:t>
      </w:r>
      <w:r w:rsidR="00D807D8">
        <w:t xml:space="preserve">Das BVerwG führt zwar in dem angegriffenen Urteil unter Rn. 20 aus, dass die Grundrechte der Beschwerdeführerin, u.a. Art. 5 GG, bei der Auslegung und Anwendung des BArchG zu berücksichtigen seien. Eine solche Berücksichtigung ist dem BVerwG </w:t>
      </w:r>
      <w:r w:rsidR="006A49B8">
        <w:t>jedoch</w:t>
      </w:r>
      <w:r w:rsidR="00D807D8">
        <w:t xml:space="preserve"> nicht möglich, weil es sich an den Beschluss des Fachsenats gebunden fühlt. Der erkennende Senat des BVerwG kannte die Argumente des BND und die streitgegenständlichen Unterlagen nicht. Dieses Sonderwissen war dem Fachsenat vorbehalten (der indes Art. 5 GG bei seiner Prüfung nicht berücksichtigen musste und nicht berücksichtigt hat). </w:t>
      </w:r>
      <w:r w:rsidR="006A49B8">
        <w:t xml:space="preserve">Entsprechend konnte der </w:t>
      </w:r>
      <w:r w:rsidR="006A49B8">
        <w:lastRenderedPageBreak/>
        <w:t>erkennende Senat Art. 5 GG in seiner Entscheidung nicht berücksichtigen. Schon darin liegt eine Verletzung von Art. 5 Abs. 1 S. 2 GG.</w:t>
      </w:r>
    </w:p>
    <w:p w14:paraId="06DA9AE4" w14:textId="1AB74EE9" w:rsidR="00F95EF4" w:rsidRDefault="00E001EB" w:rsidP="00F95EF4">
      <w:r>
        <w:t>D</w:t>
      </w:r>
      <w:r w:rsidR="00F95EF4">
        <w:t xml:space="preserve">ie presserechtlichen Interessen </w:t>
      </w:r>
      <w:r>
        <w:t xml:space="preserve">werden </w:t>
      </w:r>
      <w:r w:rsidR="00F95EF4">
        <w:t>durch das Urteil des BVerwG missachtet, indem eine Abwägung mit dem besonderen Informations- und Kontrollinteresse der Presse nicht stattfindet. Dieses besteht in besonderem Maße, da es um die geschichtliche Aufarbeitung von NS-Verstrickungen der Geheimdienste nach Ende des Dritten Reiches</w:t>
      </w:r>
      <w:r>
        <w:t>.</w:t>
      </w:r>
    </w:p>
    <w:p w14:paraId="0B74CC43" w14:textId="77777777" w:rsidR="00F95EF4" w:rsidRDefault="00F95EF4" w:rsidP="00F95EF4">
      <w:r>
        <w:t>Die Kontrolle der Nachrichtendienste ist aufgrund ihrer Tätigkeit unter Geheimschutz in einer freiheitlichen Demokratie von erheblicher und grundlegender Bedeutung. Da bereits die Tätigkeit des BND im Geheimen und unter Ausschluss der Öffentlichkeit stattfindet, bedarf es nach Abschluss der nachrichtendienstlichen Vorgänge bzw. nach erheblichem Zeitablauf einer Beendigung dieser Geheimhaltung. Nur so kann eine Kontrolle der Geheimdienste durch die Öffentlichkeit, die in einer Demokratie essentiell ist, gewährleistet werden. Diese Kontrolle ist maßgebliche Aufgabe der Presse. Ein hierfür wichtiges Auskunfts- und Zugangsrecht bildet das Bundesarchivgesetz. Wird dagegen der Presse die Kontrolle und Aufarbeitung der nachrichtendienstlichen Tätigkeiten verwehrt, verbleiben diese sogar Jahrzehnte nach ihrer Beendigung im Geheimen und können letztlich nie einer öffentlichen Kontrolle unterzogen werden. Dieser vom BVerwG nicht beachtete Umstand missachtet die Rolle der Presse in einer freiheitlichen Demokratie grundlegend.</w:t>
      </w:r>
    </w:p>
    <w:p w14:paraId="1ACCD8FE" w14:textId="77777777" w:rsidR="00F95EF4" w:rsidRDefault="00F95EF4" w:rsidP="00F95EF4">
      <w:r>
        <w:t>Vor diesem Hintergrund hat die Güterabwägung besonders grundrechtssensibel bzw. mit besonderem Augenmerk auf die Funktion der Presse stattzufinden. Dies verkennt das BVerwG in seinem Urteil. Die Kontroll- und Informationsfunktion der Presse wird weder in dem Urteil des BVerwG noch in dem Beschluss des Fachsenats berücksichtigt oder erkannt.</w:t>
      </w:r>
    </w:p>
    <w:p w14:paraId="3FAD5A05" w14:textId="20C65F63" w:rsidR="00F95EF4" w:rsidRDefault="00F95EF4" w:rsidP="00F95EF4">
      <w:r>
        <w:t>Der Quellen- und Methodenschutz bzw. das Staatswohl überwiegt dem besonderen presserechtlichen Interesse an der Kontrolle der Nachrichtendienste jedenfalls nach dem hier vorliegenden erheblichen Zeitablauf seit Abschluss der Vorgänge nicht. Die begehrten Unterlagen betreffen Vorgänge des BND in den 60er Jahren.</w:t>
      </w:r>
    </w:p>
    <w:p w14:paraId="7863522C" w14:textId="077F1B20" w:rsidR="00F95EF4" w:rsidRDefault="00F95EF4" w:rsidP="00F95EF4">
      <w:r>
        <w:t xml:space="preserve">Das historische Aufklärungsinteresse der Presse führt im Wege der verfassungskonformen Güterabwägung daher dazu, dass </w:t>
      </w:r>
      <w:r w:rsidR="00E001EB">
        <w:t>mehr als 6</w:t>
      </w:r>
      <w:r>
        <w:t>0 Jahre nach den fraglichen</w:t>
      </w:r>
      <w:r w:rsidR="00E001EB">
        <w:t xml:space="preserve"> Vorgängen</w:t>
      </w:r>
      <w:r>
        <w:t xml:space="preserve"> eine Betroffenheit der Funktionsfähigkeit der Nachrichtendienste – selbst wenn diese vorliegt – jedenfalls nicht mehr derart gewichtig ist, dass </w:t>
      </w:r>
      <w:r w:rsidR="00E001EB">
        <w:t>die</w:t>
      </w:r>
      <w:r>
        <w:t xml:space="preserve"> Beschwerdeführer</w:t>
      </w:r>
      <w:r w:rsidR="00E001EB">
        <w:t>in</w:t>
      </w:r>
      <w:r>
        <w:t xml:space="preserve"> in </w:t>
      </w:r>
      <w:r w:rsidR="00E001EB">
        <w:t xml:space="preserve">ihrer </w:t>
      </w:r>
      <w:r>
        <w:t xml:space="preserve">presserechtlichen Recherchearbeit vollumfänglich zurücktreten muss. </w:t>
      </w:r>
    </w:p>
    <w:p w14:paraId="5EEBF857" w14:textId="77777777" w:rsidR="00F95EF4" w:rsidRDefault="00F95EF4" w:rsidP="00F95EF4">
      <w:r>
        <w:lastRenderedPageBreak/>
        <w:t>Das BVerwG greift mithin in nicht gerechtfertigter Weise in die Pressefreiheit des Beschwerdeführers ein.</w:t>
      </w:r>
    </w:p>
    <w:p w14:paraId="2F07D4E7" w14:textId="243324BA" w:rsidR="00B669E7" w:rsidRDefault="00DB5920" w:rsidP="00DB5920">
      <w:pPr>
        <w:pStyle w:val="berschrift4"/>
      </w:pPr>
      <w:r w:rsidRPr="000A1D93">
        <w:t xml:space="preserve">Rüge der Verletzung von Konventionsrechten der </w:t>
      </w:r>
      <w:r>
        <w:t>Europäischen Menschenrechtskonvention</w:t>
      </w:r>
      <w:r w:rsidRPr="000A1D93">
        <w:t xml:space="preserve"> </w:t>
      </w:r>
      <w:r>
        <w:t>i.V.m Art. 103 Abs. 1 GG</w:t>
      </w:r>
    </w:p>
    <w:p w14:paraId="1C72FA16" w14:textId="45BF4DD2" w:rsidR="00DB5920" w:rsidRDefault="00D15868" w:rsidP="00DB5920">
      <w:bookmarkStart w:id="62" w:name="_Hlk204266330"/>
      <w:bookmarkStart w:id="63" w:name="_Hlk206756636"/>
      <w:r>
        <w:t>Die Beschwerdeführerin</w:t>
      </w:r>
      <w:r w:rsidR="00DB5920" w:rsidRPr="00FA1CB5">
        <w:t xml:space="preserve"> rüg</w:t>
      </w:r>
      <w:r w:rsidR="00DB5920">
        <w:t xml:space="preserve">t die Verletzung </w:t>
      </w:r>
      <w:r w:rsidR="00AA5841">
        <w:t>ihres</w:t>
      </w:r>
      <w:r w:rsidR="00DB5920">
        <w:t xml:space="preserve"> rechtlichen Gehörs gem. Art. 103 Abs. 1 GG auch aufgrund konventionswidriger Auslegung des nationalen Rechts durch das BVerwG.</w:t>
      </w:r>
    </w:p>
    <w:p w14:paraId="01F0DF7C" w14:textId="77777777" w:rsidR="00DB5920" w:rsidRDefault="00DB5920" w:rsidP="00DB5920">
      <w:r>
        <w:t xml:space="preserve">Grundsätzlich kann eine Verfassungsbeschwerde nicht allein auf die Verletzung der Europäischen Menschenrechtskonvention (EMRK) gestützt werden. Die EMRK steht innerstaatlich auf den Rang eines Bundesgesetzes und damit unter dem GG. Jedoch ist die EMRK bei der Interpretation des nationalen Rechts, einschließlich der Grundrechte zu berücksichtigen. </w:t>
      </w:r>
    </w:p>
    <w:p w14:paraId="10BA4216" w14:textId="7972C26D" w:rsidR="00DB5920" w:rsidRPr="00065FB2" w:rsidRDefault="00DB5920" w:rsidP="00DB5920">
      <w:pPr>
        <w:ind w:firstLine="708"/>
      </w:pPr>
      <w:r>
        <w:t>BVerfG, Beschl. v. 20.</w:t>
      </w:r>
      <w:r>
        <w:rPr>
          <w:rFonts w:ascii="Arial" w:hAnsi="Arial" w:cs="Arial"/>
        </w:rPr>
        <w:t> </w:t>
      </w:r>
      <w:r>
        <w:t xml:space="preserve">6. 2012 </w:t>
      </w:r>
      <w:r>
        <w:rPr>
          <w:rFonts w:cs="Century Gothic"/>
        </w:rPr>
        <w:t>−</w:t>
      </w:r>
      <w:r>
        <w:t xml:space="preserve"> 2 BvR 1048/11 </w:t>
      </w:r>
      <w:r w:rsidRPr="00065FB2">
        <w:t>NJW 2012, 3357 Rn. 91</w:t>
      </w:r>
      <w:r>
        <w:t>, juris</w:t>
      </w:r>
    </w:p>
    <w:p w14:paraId="5485F5A6" w14:textId="77777777" w:rsidR="00DB5920" w:rsidRPr="00B01669" w:rsidRDefault="00DB5920" w:rsidP="00DB5920">
      <w:pPr>
        <w:spacing w:after="140"/>
      </w:pPr>
      <w:r w:rsidRPr="00FA1CB5">
        <w:t>Nach den in dem</w:t>
      </w:r>
      <w:r>
        <w:t xml:space="preserve"> Verfahren vom BVerfG aufgestellten Grundsätzen müssen die Instanzgerichte die EMRK als insoweit geltendes Bundesrecht beachten. Dazu gehört die Auseinandersetzung mit den Grundsätzen und Wertungen der EMRK und der Rechtsprechung des </w:t>
      </w:r>
      <w:r w:rsidRPr="00B01669">
        <w:t>Europäischen Gerichtshofs für Menschenrechte</w:t>
      </w:r>
      <w:r>
        <w:t xml:space="preserve"> (EGMR). Insofern gehört zur</w:t>
      </w:r>
      <w:r w:rsidRPr="00B01669">
        <w:t xml:space="preserve"> Bindung an Gesetz und Recht </w:t>
      </w:r>
      <w:r>
        <w:t xml:space="preserve">gem. </w:t>
      </w:r>
      <w:r w:rsidRPr="00B01669">
        <w:t xml:space="preserve">Art. 20 Abs. 3 GG </w:t>
      </w:r>
      <w:r>
        <w:t>auch</w:t>
      </w:r>
      <w:r w:rsidRPr="00B01669">
        <w:t xml:space="preserve"> die Berücksichtigung der </w:t>
      </w:r>
      <w:r>
        <w:t>EMRK</w:t>
      </w:r>
      <w:r w:rsidRPr="00B01669">
        <w:t xml:space="preserve"> und der Entscheidungen des </w:t>
      </w:r>
      <w:r>
        <w:t>EGMR</w:t>
      </w:r>
      <w:r w:rsidRPr="00B01669">
        <w:t xml:space="preserve"> im Rahmen methodisch vertretbarer Gesetzesauslegung. Bei der Berücksichtigung von Entscheidungen des </w:t>
      </w:r>
      <w:r>
        <w:t>EGMR</w:t>
      </w:r>
      <w:r w:rsidRPr="00B01669">
        <w:t xml:space="preserve"> haben die staatlichen Organe die Auswirkungen auf die nationale Rechtsordnung in ihre Rechtsanwendung einzubeziehen. Dies gilt insbesondere dann, wenn es sich bei dem einschlägigen nationalen Recht um ein ausbalanciertes Teilsystem des innerstaatlichen Rechts handelt, das verschiedene Grundrechtspositionen miteinander zum Ausgleich bringen will.</w:t>
      </w:r>
    </w:p>
    <w:p w14:paraId="322DBFDE" w14:textId="77777777" w:rsidR="00DB5920" w:rsidRDefault="00DB5920" w:rsidP="00DB5920">
      <w:pPr>
        <w:ind w:left="709"/>
      </w:pPr>
      <w:r w:rsidRPr="00B01669">
        <w:t>BVerfG, Beschluss vom 14. Oktober 2004 – 2 BvR 1481/04 –, BVerfGE 111, 307-332</w:t>
      </w:r>
    </w:p>
    <w:p w14:paraId="202663F8" w14:textId="77777777" w:rsidR="00DB5920" w:rsidRDefault="00DB5920" w:rsidP="00DB5920">
      <w:pPr>
        <w:spacing w:after="140"/>
      </w:pPr>
      <w:r>
        <w:t>Insoweit stellt es auch eine Verletzung des rechtlichen Gehörs gem. Art. 103 Abs. 1 GG dar, wenn ein Gericht sich in den Entscheidungsgründen nicht mit der Rechtsprechung des europäischen Gerichtshofs für Menschenrechte und insbesondere Art. 10 EMRK auseinandersetzt, obwohl hierzu vorgetragen worden ist.</w:t>
      </w:r>
    </w:p>
    <w:p w14:paraId="7BD5DD08" w14:textId="77777777" w:rsidR="00DB5920" w:rsidRDefault="00DB5920" w:rsidP="00DB5920">
      <w:pPr>
        <w:ind w:left="708"/>
      </w:pPr>
      <w:r>
        <w:t>BVerfG, Stattgebender Kammerbeschluss vom 30. Juni 2015 – 2 BvR 433/15 –, Rn. 9-10, juris</w:t>
      </w:r>
    </w:p>
    <w:p w14:paraId="0EAAFB3B" w14:textId="4B9EA993" w:rsidR="00DB5920" w:rsidRPr="008A1ABE" w:rsidRDefault="00DB5920" w:rsidP="00DB5920">
      <w:pPr>
        <w:pStyle w:val="berschrift6"/>
        <w:numPr>
          <w:ilvl w:val="0"/>
          <w:numId w:val="19"/>
        </w:numPr>
      </w:pPr>
      <w:r>
        <w:lastRenderedPageBreak/>
        <w:t>Konventionsrechtlicher Maßstab von Art. 10 Abs. 1 EMRK</w:t>
      </w:r>
    </w:p>
    <w:p w14:paraId="5074B93C" w14:textId="476D371A" w:rsidR="00DB5920" w:rsidRDefault="00D15868" w:rsidP="00DB5920">
      <w:r>
        <w:t>Die Beschwerdeführerin</w:t>
      </w:r>
      <w:r w:rsidR="00DB5920" w:rsidRPr="00801DF0">
        <w:t xml:space="preserve"> </w:t>
      </w:r>
      <w:r w:rsidR="00DB5920">
        <w:t>rügt</w:t>
      </w:r>
      <w:r w:rsidR="00DB5920" w:rsidRPr="00801DF0">
        <w:t xml:space="preserve"> </w:t>
      </w:r>
      <w:r w:rsidR="00DB5920">
        <w:t xml:space="preserve">die Verletzung </w:t>
      </w:r>
      <w:r w:rsidR="00D46110">
        <w:t>ihrer</w:t>
      </w:r>
      <w:r w:rsidR="00DB5920">
        <w:t xml:space="preserve"> Rechte aus</w:t>
      </w:r>
      <w:r w:rsidR="00DB5920" w:rsidRPr="00801DF0">
        <w:t xml:space="preserve"> Art. 10</w:t>
      </w:r>
      <w:r w:rsidR="00DB5920">
        <w:t xml:space="preserve"> Abs. 1</w:t>
      </w:r>
      <w:r w:rsidR="00DB5920" w:rsidRPr="00801DF0">
        <w:t xml:space="preserve"> EMRK</w:t>
      </w:r>
      <w:r w:rsidR="00DB5920">
        <w:t xml:space="preserve">, da das Urteil des BVerwG sich in rechtsstaatswidriger Weise nicht ausreichend mit der Wertung des Art. 10 Abs. 1 EMRK und der entsprechenden Judikatur des EGMR beschäftigt, obwohl </w:t>
      </w:r>
      <w:r>
        <w:t>die Beschwerdeführerin</w:t>
      </w:r>
      <w:r w:rsidR="00DB5920">
        <w:t xml:space="preserve"> hierzu vorgetragen hat. </w:t>
      </w:r>
    </w:p>
    <w:p w14:paraId="28F3127B" w14:textId="77777777" w:rsidR="00DB5920" w:rsidRPr="00801DF0" w:rsidRDefault="00DB5920" w:rsidP="00DB5920">
      <w:r w:rsidRPr="00801DF0">
        <w:t>Die europäische Menschenrechtskonvention gilt kraft gesetzlicher Übernahme im Rang eines Bundesgesetzes</w:t>
      </w:r>
      <w:r>
        <w:t>.</w:t>
      </w:r>
    </w:p>
    <w:p w14:paraId="1018D0CD" w14:textId="77777777" w:rsidR="00DB5920" w:rsidRDefault="00DB5920" w:rsidP="00DB5920">
      <w:r w:rsidRPr="00801DF0">
        <w:tab/>
        <w:t>BVerfGE 74, 258, 370; 111, 307, 317</w:t>
      </w:r>
    </w:p>
    <w:p w14:paraId="230F1354" w14:textId="77777777" w:rsidR="00DB5920" w:rsidRDefault="00DB5920" w:rsidP="00DB5920">
      <w:r>
        <w:t xml:space="preserve">Der Grundsatz der völkerrechtsfreundlichen Auslegung besagt, dass die Bestimmungen des innerstaatlichen Rechts so auszulegen sind, dass die Konvention größtmögliche Geltung erlangt. </w:t>
      </w:r>
    </w:p>
    <w:p w14:paraId="1465429A" w14:textId="77777777" w:rsidR="00DB5920" w:rsidRDefault="00DB5920" w:rsidP="00DB5920">
      <w:pPr>
        <w:ind w:left="709"/>
      </w:pPr>
      <w:r>
        <w:t>„</w:t>
      </w:r>
      <w:r w:rsidRPr="00FA1CB5">
        <w:rPr>
          <w:i/>
          <w:iCs/>
        </w:rPr>
        <w:t>Bei der Auslegung des Grundgesetzes sind auch Inhalt und Entwicklungsstand der Europäischen Menschenrechtskonvention in Betracht zu ziehen, sofern dies nicht zu einer Einschränkung oder Minderung des Grundrechtsschutzes nach dem Grundgesetz führt, eine Wirkung, die die Konvention indes selbst ausgeschlossen wissen will (Art. 60 EMRK). Deshalb dient insoweit auch die Rechtsprechung des Europäischen Gerichtshofs für Menschenrechte als Auslegungshilfe für die Bestimmung von Inhalt und Reichweite von Grundrechten und rechtsstaatlichen Grundsätzen des Grundgesetzes. Auch Gesetze – hier die Strafprozeßordnung – sind im Einklang mit den völkerrechtlichen Verpflichtungen der Bundesrepublik Deutschland auszulegen und anzuwenden, selbst wenn sie zeitlich später erlassen worden sind als ein geltender völkerrechtlicher Vertrag; denn es ist nicht anzunehmen, daß der Gesetzgeber, sofern er dies nicht klar bekundet hat, von völkerrechtlichen Verpflichtungen der Bundesrepublik Deutschland abweichen oder die Verletzung solcher Verpflichtungen ermöglichen will.“</w:t>
      </w:r>
    </w:p>
    <w:p w14:paraId="0BB8D38F" w14:textId="77777777" w:rsidR="00DB5920" w:rsidRPr="00801DF0" w:rsidRDefault="00DB5920" w:rsidP="00DB5920">
      <w:pPr>
        <w:ind w:left="709"/>
      </w:pPr>
      <w:r>
        <w:t>BverfG Beschl. v. 26.3.1987 – 2 BvR 284/85, BeckRS 1987, 111174 Rn. 33, beck-online</w:t>
      </w:r>
    </w:p>
    <w:p w14:paraId="4C98BE9C" w14:textId="5867EAC6" w:rsidR="00DB5920" w:rsidRDefault="00DB5920" w:rsidP="00DB5920">
      <w:r>
        <w:t xml:space="preserve">Einschränkend hat das </w:t>
      </w:r>
      <w:r w:rsidR="00D46110">
        <w:t>BVerfG</w:t>
      </w:r>
      <w:r>
        <w:t xml:space="preserve"> festgehalten: </w:t>
      </w:r>
    </w:p>
    <w:p w14:paraId="1AD54037" w14:textId="77777777" w:rsidR="00DB5920" w:rsidRPr="000622F6" w:rsidRDefault="00DB5920" w:rsidP="00DB5920">
      <w:pPr>
        <w:ind w:left="709"/>
        <w:rPr>
          <w:i/>
        </w:rPr>
      </w:pPr>
      <w:r w:rsidRPr="000622F6">
        <w:rPr>
          <w:i/>
        </w:rPr>
        <w:t>„Die Heranziehung als Auslegungshilfe verlangt allerdings keine schematische Parallelisierung der Aussagen des Grundgesetzes mit denen der EMRK, sondern ein Aufneh</w:t>
      </w:r>
      <w:r w:rsidRPr="000622F6">
        <w:rPr>
          <w:i/>
        </w:rPr>
        <w:lastRenderedPageBreak/>
        <w:t>men von deren Wertungen, soweit dies methodisch vertretbar und mit den Vorgaben des Grundgesetzes vereinbar“</w:t>
      </w:r>
    </w:p>
    <w:p w14:paraId="020D33C8" w14:textId="77777777" w:rsidR="00DB5920" w:rsidRPr="00FA1CB5" w:rsidRDefault="00DB5920" w:rsidP="00DB5920">
      <w:pPr>
        <w:ind w:left="709"/>
      </w:pPr>
      <w:r w:rsidRPr="0028721D">
        <w:t>BverfG, Beschluss vom 20. Juni 2012 – 2 BvR 1048/11 –, BverfGE 131, 268-316, Rn. 91</w:t>
      </w:r>
    </w:p>
    <w:p w14:paraId="4F88432B" w14:textId="77777777" w:rsidR="00DB5920" w:rsidRDefault="00DB5920" w:rsidP="00DB5920">
      <w:r>
        <w:t xml:space="preserve">Die EMRK enthält einen eigenständigen und vom </w:t>
      </w:r>
      <w:r w:rsidRPr="00801DF0">
        <w:t>EGMR</w:t>
      </w:r>
      <w:r>
        <w:t xml:space="preserve"> judizierten Auskunft- und Informationszugangsanspruch in Art. 10 Abs. 1 EMRK. Dessen grundsätzliche Wertung ist im Rahmen einer konventionsfreundlichen Auslegung nationaler Vorschriften einschließlich des Grundgesetzes zu berücksichtigen.</w:t>
      </w:r>
    </w:p>
    <w:p w14:paraId="3985955A" w14:textId="77777777" w:rsidR="00DB5920" w:rsidRDefault="00DB5920" w:rsidP="00DB5920">
      <w:r>
        <w:t>Der EGMR spricht sog. „</w:t>
      </w:r>
      <w:r w:rsidRPr="00FD6686">
        <w:rPr>
          <w:i/>
        </w:rPr>
        <w:t>public watchdogs</w:t>
      </w:r>
      <w:r>
        <w:t xml:space="preserve">“ das Recht auf Auskunft und Zugang zu Informationen aus Art. 10 Abs. 1 S. 2 EMRK zu. Er begründet dies damit, dass </w:t>
      </w:r>
      <w:r w:rsidRPr="00801DF0">
        <w:t>die Bevölkerung ein Recht auf Empfang von Informationen</w:t>
      </w:r>
      <w:r>
        <w:t xml:space="preserve"> zur Ausübung ihres Rechts auf freie Meinungsäußerung habe. Das Recht auf</w:t>
      </w:r>
      <w:r w:rsidRPr="004E160F">
        <w:t xml:space="preserve"> Zugang zu den Informationen</w:t>
      </w:r>
      <w:r>
        <w:t xml:space="preserve"> sei</w:t>
      </w:r>
      <w:r w:rsidRPr="004E160F">
        <w:t xml:space="preserve"> für die Ausübung des Rechts des Einzelnen auf freie Meinungsäußerung</w:t>
      </w:r>
      <w:r>
        <w:t xml:space="preserve"> konstituierend.</w:t>
      </w:r>
    </w:p>
    <w:p w14:paraId="4E0C4EF4" w14:textId="77777777" w:rsidR="00DB5920" w:rsidRDefault="00DB5920" w:rsidP="00DB5920">
      <w:r>
        <w:t xml:space="preserve">Die </w:t>
      </w:r>
      <w:r w:rsidRPr="004E160F">
        <w:t xml:space="preserve">Verweigerung </w:t>
      </w:r>
      <w:r>
        <w:t>des</w:t>
      </w:r>
      <w:r w:rsidRPr="004E160F">
        <w:t xml:space="preserve"> Zugangs </w:t>
      </w:r>
      <w:r>
        <w:t xml:space="preserve">zu Information stellt immer dann einen </w:t>
      </w:r>
      <w:r w:rsidRPr="004E160F">
        <w:t>Eingriff</w:t>
      </w:r>
      <w:r>
        <w:t xml:space="preserve"> in Art. 10 Abs. 1 EMRK dar, wenn</w:t>
      </w:r>
      <w:r w:rsidRPr="004E160F">
        <w:t xml:space="preserve"> in </w:t>
      </w:r>
      <w:r>
        <w:t>das</w:t>
      </w:r>
      <w:r w:rsidRPr="004E160F">
        <w:t xml:space="preserve"> Recht </w:t>
      </w:r>
      <w:r>
        <w:t xml:space="preserve">auf freie Meinungsäußerung und die Freiheit, Informationen zu empfangen und weiterzugeben, beschränkt wird. </w:t>
      </w:r>
    </w:p>
    <w:p w14:paraId="493DC0DB" w14:textId="77777777" w:rsidR="00DB5920" w:rsidRPr="00801DF0" w:rsidRDefault="00DB5920" w:rsidP="00DB5920">
      <w:pPr>
        <w:ind w:left="708"/>
      </w:pPr>
      <w:r w:rsidRPr="00801DF0">
        <w:t>Frowein/Peukert, EMRK, 2. Aufl. 1996, Art. 10 Rz. 13; Dauses, EU-Wirtschaftsrecht, 31. Ergänzungslieferung 2012, Art. 10 EMRK, Rz. 26</w:t>
      </w:r>
    </w:p>
    <w:p w14:paraId="611C5FB5" w14:textId="77777777" w:rsidR="00DB5920" w:rsidRDefault="00DB5920" w:rsidP="00DB5920">
      <w:r>
        <w:t xml:space="preserve">Der EGMR beurteilt einzelfallbezogen, inwieweit die Verweigerung des Zugangs zu Informationen eine Beeinträchtigung der Rechte des Antragsstellers auf freie Meinungsäußerung darstellt. Das Gericht hat in seiner Rechtsprechungspraxis eigenständige Kriterien entwickelt, nach denen es beurteilt, ob ein Eingriff in die Informationsfreiheit nach Art. 10 Abs. 1 S. 2 EMRK vorliegt. </w:t>
      </w:r>
    </w:p>
    <w:p w14:paraId="18908DE7" w14:textId="77777777" w:rsidR="00DB5920" w:rsidRDefault="00DB5920" w:rsidP="00DB5920">
      <w:r>
        <w:t>In</w:t>
      </w:r>
      <w:r w:rsidRPr="00801DF0">
        <w:t xml:space="preserve"> der Entscheidung Tarasag a Szabadsagjogokert</w:t>
      </w:r>
      <w:r>
        <w:t xml:space="preserve"> v. Ungarn</w:t>
      </w:r>
      <w:r w:rsidRPr="00801DF0">
        <w:t xml:space="preserve">aus dem Jahre 2009 entschied </w:t>
      </w:r>
      <w:r>
        <w:t>d</w:t>
      </w:r>
      <w:r w:rsidRPr="00801DF0">
        <w:t>er</w:t>
      </w:r>
      <w:r>
        <w:t xml:space="preserve"> EGMR</w:t>
      </w:r>
      <w:r w:rsidRPr="00801DF0">
        <w:t xml:space="preserve">, dass </w:t>
      </w:r>
      <w:r>
        <w:t>die</w:t>
      </w:r>
      <w:r w:rsidRPr="00801DF0">
        <w:t xml:space="preserve"> für die Demokratie schlechthin konstituierenden Presse ein Recht auf Informationszugang aus Art. 10 Abs. 1 S. 2 EMRK zustehe, da sie nur so ihrer Rolle als „</w:t>
      </w:r>
      <w:r w:rsidRPr="00FD6686">
        <w:rPr>
          <w:i/>
        </w:rPr>
        <w:t>public watchdog</w:t>
      </w:r>
      <w:r w:rsidRPr="00801DF0">
        <w:t xml:space="preserve">“ gerecht werden könne. Der Gerichtshof betonte dabei die grundsätzliche Rolle der Presse in der Demokratie, durch die die Öffentlichkeit über Fragen von allgemeinem Interesse informiert werde. </w:t>
      </w:r>
      <w:r>
        <w:t>Der Öffentlichkeit erwachse aus ihrem Recht auf Informationsfreiheit auch das von der Konvention unmittelbar gewährleistete Recht, dass die</w:t>
      </w:r>
      <w:r w:rsidRPr="00801DF0">
        <w:t xml:space="preserve"> Presse </w:t>
      </w:r>
      <w:r>
        <w:t>ihre besondere</w:t>
      </w:r>
      <w:r w:rsidRPr="00801DF0">
        <w:t xml:space="preserve"> Aufgabe</w:t>
      </w:r>
      <w:r>
        <w:t xml:space="preserve"> und Funktion als public watchdog</w:t>
      </w:r>
      <w:r w:rsidRPr="00801DF0">
        <w:t xml:space="preserve">, </w:t>
      </w:r>
      <w:r>
        <w:t>erfüllen könne</w:t>
      </w:r>
      <w:r w:rsidRPr="00801DF0">
        <w:t>.</w:t>
      </w:r>
      <w:r w:rsidRPr="005A69E1">
        <w:t xml:space="preserve"> </w:t>
      </w:r>
      <w:r w:rsidRPr="00801DF0">
        <w:t xml:space="preserve">Dies sei jedoch nur der Fall, </w:t>
      </w:r>
      <w:r w:rsidRPr="00801DF0">
        <w:lastRenderedPageBreak/>
        <w:t>sofern</w:t>
      </w:r>
      <w:r>
        <w:t xml:space="preserve"> auch</w:t>
      </w:r>
      <w:r w:rsidRPr="00801DF0">
        <w:t xml:space="preserve"> ein öffentliches Interesse an den Informationen bestehe und die Informationen „</w:t>
      </w:r>
      <w:r w:rsidRPr="00FD6686">
        <w:rPr>
          <w:i/>
        </w:rPr>
        <w:t>ready and available</w:t>
      </w:r>
      <w:r w:rsidRPr="00801DF0">
        <w:t>“ seien.</w:t>
      </w:r>
      <w:r>
        <w:t xml:space="preserve"> </w:t>
      </w:r>
    </w:p>
    <w:p w14:paraId="7CA0A703" w14:textId="77777777" w:rsidR="00DB5920" w:rsidRPr="00801DF0" w:rsidRDefault="00DB5920" w:rsidP="00DB5920">
      <w:pPr>
        <w:ind w:left="708"/>
      </w:pPr>
      <w:r>
        <w:t xml:space="preserve">Vgl.: </w:t>
      </w:r>
      <w:r w:rsidRPr="00801DF0">
        <w:t>EGMR v. 14.4.2009 – Nr. 37374/05 – „Tarsasag a Szabadsagjogokert</w:t>
      </w:r>
      <w:r>
        <w:t xml:space="preserve"> v.</w:t>
      </w:r>
      <w:r w:rsidRPr="00801DF0">
        <w:t>Ungarn“; ausführlich dazu Partsch, AfP 2013, 214 f. m.w.N.</w:t>
      </w:r>
    </w:p>
    <w:p w14:paraId="3A3424F6" w14:textId="77777777" w:rsidR="00DB5920" w:rsidRPr="00801DF0" w:rsidRDefault="00DB5920" w:rsidP="00DB5920">
      <w:r w:rsidRPr="00801DF0">
        <w:t>I</w:t>
      </w:r>
      <w:r>
        <w:t>n</w:t>
      </w:r>
      <w:r w:rsidRPr="00801DF0">
        <w:t xml:space="preserve"> dem </w:t>
      </w:r>
      <w:r>
        <w:t>Verfahren</w:t>
      </w:r>
      <w:r w:rsidRPr="00801DF0">
        <w:t xml:space="preserve"> Youth Initiative for Human Rights v. Serbia </w:t>
      </w:r>
      <w:r>
        <w:t>stellte</w:t>
      </w:r>
      <w:r w:rsidRPr="00801DF0">
        <w:t xml:space="preserve"> der Gerichtshof 2013 </w:t>
      </w:r>
      <w:r>
        <w:t>fest</w:t>
      </w:r>
      <w:r w:rsidRPr="00801DF0">
        <w:t>, dass das Recht auf Empfang von Informationen</w:t>
      </w:r>
      <w:r>
        <w:t xml:space="preserve"> auch</w:t>
      </w:r>
      <w:r w:rsidRPr="00801DF0">
        <w:t xml:space="preserve"> das Recht auf Zugang zu Informationen mit umfasse. In dieser Entscheidung </w:t>
      </w:r>
      <w:r>
        <w:t>betonte</w:t>
      </w:r>
      <w:r w:rsidRPr="00801DF0">
        <w:t xml:space="preserve"> der EGMR die besondere Bedeutung der Meinungsäußerungsfreiheit und </w:t>
      </w:r>
      <w:r>
        <w:t xml:space="preserve">das </w:t>
      </w:r>
      <w:r w:rsidRPr="00801DF0">
        <w:t xml:space="preserve"> Recht auf Zugang zu Informationen </w:t>
      </w:r>
      <w:r>
        <w:t>auch für Nichtregierungsorganisationen, welche ebenfalls die Rolle von „</w:t>
      </w:r>
      <w:r w:rsidRPr="00FD6686">
        <w:rPr>
          <w:i/>
        </w:rPr>
        <w:t>public watchdogs</w:t>
      </w:r>
      <w:r>
        <w:t xml:space="preserve">“ wahrnehmen könnten. </w:t>
      </w:r>
      <w:r w:rsidRPr="00801DF0">
        <w:t xml:space="preserve"> </w:t>
      </w:r>
    </w:p>
    <w:p w14:paraId="7D7AC968" w14:textId="77777777" w:rsidR="00DB5920" w:rsidRPr="00801DF0" w:rsidRDefault="00DB5920" w:rsidP="00DB5920">
      <w:pPr>
        <w:ind w:left="709" w:hanging="1"/>
        <w:rPr>
          <w:lang w:val="en-US"/>
        </w:rPr>
      </w:pPr>
      <w:r w:rsidRPr="00801DF0">
        <w:rPr>
          <w:lang w:val="en-US"/>
        </w:rPr>
        <w:t>EGMR v. 25.6.2013 – 48135/06 – „Youth Initiative for Human Rights v. Serbia, EUGRZ 2014, 520</w:t>
      </w:r>
    </w:p>
    <w:p w14:paraId="6A8D8507" w14:textId="77777777" w:rsidR="00DB5920" w:rsidRPr="00801DF0" w:rsidRDefault="00DB5920" w:rsidP="00DB5920">
      <w:r>
        <w:t>Zu</w:t>
      </w:r>
      <w:r w:rsidRPr="00801DF0">
        <w:t xml:space="preserve"> dieser Entscheidung h</w:t>
      </w:r>
      <w:r>
        <w:t>o</w:t>
      </w:r>
      <w:r w:rsidRPr="00801DF0">
        <w:t xml:space="preserve">ben die Richter Sajó und Vucinic </w:t>
      </w:r>
      <w:r>
        <w:t xml:space="preserve">zudem </w:t>
      </w:r>
      <w:r w:rsidRPr="00801DF0">
        <w:t>in einer sog. „</w:t>
      </w:r>
      <w:r w:rsidRPr="00FD6686">
        <w:rPr>
          <w:i/>
        </w:rPr>
        <w:t>Joint Concurring Opinion</w:t>
      </w:r>
      <w:r w:rsidRPr="00801DF0">
        <w:t>“ hervor, dass Art. 10</w:t>
      </w:r>
      <w:r>
        <w:t xml:space="preserve"> Abs. 1</w:t>
      </w:r>
      <w:r w:rsidRPr="00801DF0">
        <w:t xml:space="preserve"> EMRK entsprechend der internationalen Entwicklung zu einem Informationszugangsrecht </w:t>
      </w:r>
      <w:r>
        <w:t>zu</w:t>
      </w:r>
      <w:r w:rsidRPr="00801DF0">
        <w:t xml:space="preserve"> bei Behörden vorliegende</w:t>
      </w:r>
      <w:r>
        <w:t>n</w:t>
      </w:r>
      <w:r w:rsidRPr="00801DF0">
        <w:t xml:space="preserve"> Informationen zu interpretieren sei. </w:t>
      </w:r>
    </w:p>
    <w:p w14:paraId="52354D43" w14:textId="77777777" w:rsidR="00DB5920" w:rsidRPr="00801DF0" w:rsidRDefault="00DB5920" w:rsidP="00DB5920">
      <w:pPr>
        <w:ind w:left="708"/>
        <w:rPr>
          <w:i/>
          <w:lang w:val="en-US"/>
        </w:rPr>
      </w:pPr>
      <w:r w:rsidRPr="00801DF0">
        <w:rPr>
          <w:i/>
        </w:rPr>
        <w:t xml:space="preserve">„Es ist von besonderer Bedeutung für jene Länder, in denen dauerhafte Gewohnheiten es selbst heute schwierig machen, Zugang zu Daten zu erhalten, die in Zeiten des Totalitarismus von Geheimdiensten zu Zwecken der Unterdrückung genutzt wurden. Wir schreiben diese zustimmende Stellungnahme jedoch, um insbesondere das allgemeine Bedürfnis hervorzuheben, Artikel 10 in Übereinstimmung mit Entwicklungen internationalen Rechts in Bezug auf Informationsfreiheit auszulegen, was Zugang zu Informationen öffentlicher Behörden erfordert. Wir beziehen uns insbesondere auf den UN-Menschenrechtsausschuss, Allgemeiner Kommentar Nr. 34 (Dokument CCPR/C/GC/34 vom 12. </w:t>
      </w:r>
      <w:r w:rsidRPr="00801DF0">
        <w:rPr>
          <w:i/>
          <w:lang w:val="en-US"/>
        </w:rPr>
        <w:t xml:space="preserve">September 2011, § 18).“ </w:t>
      </w:r>
    </w:p>
    <w:p w14:paraId="61E1D682" w14:textId="77777777" w:rsidR="00DB5920" w:rsidRPr="00801DF0" w:rsidRDefault="00DB5920" w:rsidP="00DB5920">
      <w:pPr>
        <w:ind w:left="708"/>
        <w:rPr>
          <w:lang w:val="en-US"/>
        </w:rPr>
      </w:pPr>
      <w:r w:rsidRPr="00801DF0">
        <w:rPr>
          <w:lang w:val="en-US"/>
        </w:rPr>
        <w:t>EGMR v. 25.6.2013 – 48135/06 – „Youth Initiative for Human Rights/Serbia, EUGRZ 2014, 520</w:t>
      </w:r>
    </w:p>
    <w:p w14:paraId="2FEF2AE5" w14:textId="77777777" w:rsidR="00DB5920" w:rsidRDefault="00DB5920" w:rsidP="00DB5920">
      <w:pPr>
        <w:rPr>
          <w:rFonts w:eastAsiaTheme="majorEastAsia"/>
        </w:rPr>
      </w:pPr>
      <w:r>
        <w:t xml:space="preserve">Diese Rechtsfortbildung kulminierte in der Grundsatzentscheidung des EGMR zu Art. 10 EMRK vom 8. </w:t>
      </w:r>
      <w:r w:rsidRPr="00C1662E">
        <w:t>Nov</w:t>
      </w:r>
      <w:r>
        <w:t xml:space="preserve">ember </w:t>
      </w:r>
      <w:r w:rsidRPr="00C1662E">
        <w:t xml:space="preserve">2016 </w:t>
      </w:r>
      <w:r>
        <w:t>(</w:t>
      </w:r>
      <w:r w:rsidRPr="00C1662E">
        <w:t xml:space="preserve">Appl. No. 18030/11 </w:t>
      </w:r>
      <w:r>
        <w:t>–</w:t>
      </w:r>
      <w:r w:rsidRPr="00C1662E">
        <w:t xml:space="preserve"> </w:t>
      </w:r>
      <w:r w:rsidRPr="00FA1CB5">
        <w:rPr>
          <w:rFonts w:eastAsiaTheme="majorEastAsia"/>
        </w:rPr>
        <w:t xml:space="preserve">Magyar Helsinki Bizottság </w:t>
      </w:r>
      <w:r>
        <w:rPr>
          <w:rFonts w:eastAsiaTheme="majorEastAsia"/>
        </w:rPr>
        <w:t>/</w:t>
      </w:r>
      <w:r w:rsidRPr="00FA1CB5">
        <w:rPr>
          <w:rFonts w:eastAsiaTheme="majorEastAsia"/>
        </w:rPr>
        <w:t xml:space="preserve"> Ungarn</w:t>
      </w:r>
      <w:r>
        <w:rPr>
          <w:rFonts w:eastAsiaTheme="majorEastAsia"/>
        </w:rPr>
        <w:t>).</w:t>
      </w:r>
    </w:p>
    <w:p w14:paraId="054D5BBA" w14:textId="77777777" w:rsidR="00DB5920" w:rsidRDefault="00DB5920" w:rsidP="00DB5920">
      <w:r>
        <w:lastRenderedPageBreak/>
        <w:t xml:space="preserve">Der EGMR stellt in dieser Entscheidung fest, dass das Recht auf Informationszugang anhand bestimmter Kriterien zu einem Informationszugangsanspruch führen könne. In einer Entscheidung über den Informationszugang nach Art. 10 EMRK sei der Zweck der Informationsanfrage (1), die Art der angeforderten Informationen (2), die Rolle des Antragstellers als „public watchdog“ (3) und die Verfügbarkeit der Informationen (4) zu würdigen.  </w:t>
      </w:r>
    </w:p>
    <w:p w14:paraId="03C49B75" w14:textId="77777777" w:rsidR="00DB5920" w:rsidRDefault="00DB5920" w:rsidP="00DB5920">
      <w:pPr>
        <w:rPr>
          <w:rFonts w:eastAsiaTheme="majorEastAsia"/>
          <w:lang w:val="en-GB"/>
        </w:rPr>
      </w:pPr>
      <w:r>
        <w:tab/>
      </w:r>
      <w:r w:rsidRPr="007E7019">
        <w:rPr>
          <w:lang w:val="en-GB"/>
        </w:rPr>
        <w:t xml:space="preserve">EGMR Urt. V. 8. Nov. 2016 – Appl. No. 18030/11 </w:t>
      </w:r>
      <w:r>
        <w:rPr>
          <w:lang w:val="en-GB"/>
        </w:rPr>
        <w:t>–</w:t>
      </w:r>
      <w:r w:rsidRPr="007E7019">
        <w:rPr>
          <w:lang w:val="en-GB"/>
        </w:rPr>
        <w:t xml:space="preserve"> </w:t>
      </w:r>
      <w:r w:rsidRPr="007E7019">
        <w:rPr>
          <w:rFonts w:eastAsiaTheme="majorEastAsia"/>
          <w:lang w:val="en-GB"/>
        </w:rPr>
        <w:t>Magyar Helsinki Bizottság / Ungarn</w:t>
      </w:r>
    </w:p>
    <w:p w14:paraId="319A3DEB" w14:textId="4E4AD985" w:rsidR="00DB5920" w:rsidRPr="00E73C76" w:rsidRDefault="00DB5920" w:rsidP="00DB5920">
      <w:pPr>
        <w:pStyle w:val="berschrift7"/>
      </w:pPr>
      <w:r w:rsidRPr="00E73C76">
        <w:t xml:space="preserve">Zweck der </w:t>
      </w:r>
      <w:r w:rsidRPr="007344FD">
        <w:t>Informationsanfrage</w:t>
      </w:r>
      <w:r w:rsidRPr="00E73C76">
        <w:t xml:space="preserve"> </w:t>
      </w:r>
    </w:p>
    <w:p w14:paraId="054633FF" w14:textId="77777777" w:rsidR="00DB5920" w:rsidRDefault="00DB5920" w:rsidP="00DB5920">
      <w:pPr>
        <w:rPr>
          <w:rFonts w:eastAsiaTheme="majorEastAsia"/>
        </w:rPr>
      </w:pPr>
      <w:r>
        <w:rPr>
          <w:rFonts w:eastAsiaTheme="majorEastAsia"/>
        </w:rPr>
        <w:t>D</w:t>
      </w:r>
      <w:r w:rsidRPr="00FD6686">
        <w:rPr>
          <w:rFonts w:eastAsiaTheme="majorEastAsia"/>
        </w:rPr>
        <w:t xml:space="preserve">er Zweck der </w:t>
      </w:r>
      <w:r>
        <w:rPr>
          <w:rFonts w:eastAsiaTheme="majorEastAsia"/>
        </w:rPr>
        <w:t xml:space="preserve">Informationsanfrage muss </w:t>
      </w:r>
      <w:r w:rsidRPr="00FD6686">
        <w:rPr>
          <w:rFonts w:eastAsiaTheme="majorEastAsia"/>
        </w:rPr>
        <w:t>darin bestehen,</w:t>
      </w:r>
      <w:r>
        <w:rPr>
          <w:rFonts w:eastAsiaTheme="majorEastAsia"/>
        </w:rPr>
        <w:t xml:space="preserve"> die </w:t>
      </w:r>
      <w:r w:rsidRPr="004E160F">
        <w:t>Ausübung des Rechts des Einzelnen auf freie Meinungsäußerung</w:t>
      </w:r>
      <w:r>
        <w:rPr>
          <w:rFonts w:eastAsiaTheme="majorEastAsia"/>
        </w:rPr>
        <w:t xml:space="preserve"> zu garantieren. Der EGMR legt</w:t>
      </w:r>
      <w:r w:rsidRPr="00FD6686">
        <w:rPr>
          <w:rFonts w:eastAsiaTheme="majorEastAsia"/>
        </w:rPr>
        <w:t xml:space="preserve"> den Schwerpunkt darauf, ob d</w:t>
      </w:r>
      <w:r>
        <w:rPr>
          <w:rFonts w:eastAsiaTheme="majorEastAsia"/>
        </w:rPr>
        <w:t>er Zugang zu den</w:t>
      </w:r>
      <w:r w:rsidRPr="00FD6686">
        <w:rPr>
          <w:rFonts w:eastAsiaTheme="majorEastAsia"/>
        </w:rPr>
        <w:t xml:space="preserve"> Informationen ein relevanter vorbereitender Schritt für journalistische Tätigkeiten oder andere Aktivitäten </w:t>
      </w:r>
      <w:r>
        <w:rPr>
          <w:rFonts w:eastAsiaTheme="majorEastAsia"/>
        </w:rPr>
        <w:t>ist</w:t>
      </w:r>
      <w:r w:rsidRPr="00FD6686">
        <w:rPr>
          <w:rFonts w:eastAsiaTheme="majorEastAsia"/>
        </w:rPr>
        <w:t>,</w:t>
      </w:r>
      <w:r>
        <w:rPr>
          <w:rFonts w:eastAsiaTheme="majorEastAsia"/>
        </w:rPr>
        <w:t xml:space="preserve"> </w:t>
      </w:r>
      <w:r w:rsidRPr="00FD6686">
        <w:rPr>
          <w:rFonts w:eastAsiaTheme="majorEastAsia"/>
        </w:rPr>
        <w:t>die ein Forum für die öffentliche Debatte schaffe oder ein wesentliches Element derselben darstell</w:t>
      </w:r>
      <w:r>
        <w:rPr>
          <w:rFonts w:eastAsiaTheme="majorEastAsia"/>
        </w:rPr>
        <w:t xml:space="preserve">e. </w:t>
      </w:r>
    </w:p>
    <w:p w14:paraId="71456605" w14:textId="77777777" w:rsidR="00DB5920" w:rsidRDefault="00DB5920" w:rsidP="00DB5920">
      <w:pPr>
        <w:rPr>
          <w:rFonts w:eastAsiaTheme="majorEastAsia"/>
        </w:rPr>
      </w:pPr>
      <w:r>
        <w:rPr>
          <w:rFonts w:eastAsiaTheme="majorEastAsia"/>
        </w:rPr>
        <w:t xml:space="preserve">Dies gilt </w:t>
      </w:r>
      <w:r w:rsidRPr="00FD6686">
        <w:rPr>
          <w:rFonts w:eastAsiaTheme="majorEastAsia"/>
        </w:rPr>
        <w:t xml:space="preserve">für </w:t>
      </w:r>
      <w:r>
        <w:rPr>
          <w:rFonts w:eastAsiaTheme="majorEastAsia"/>
        </w:rPr>
        <w:t>Nichtregierungsorganisationen,</w:t>
      </w:r>
    </w:p>
    <w:p w14:paraId="0E67CA5A" w14:textId="77777777" w:rsidR="00DB5920" w:rsidRDefault="00DB5920" w:rsidP="00DB5920">
      <w:pPr>
        <w:ind w:left="708"/>
        <w:rPr>
          <w:rFonts w:eastAsiaTheme="majorEastAsia"/>
        </w:rPr>
      </w:pPr>
      <w:r w:rsidRPr="00801DF0">
        <w:t>EGMR</w:t>
      </w:r>
      <w:r>
        <w:t>,</w:t>
      </w:r>
      <w:r w:rsidRPr="00801DF0">
        <w:t xml:space="preserve"> </w:t>
      </w:r>
      <w:r>
        <w:t xml:space="preserve">Urteil </w:t>
      </w:r>
      <w:r w:rsidRPr="00801DF0">
        <w:t xml:space="preserve">v. 14.4.2009 – </w:t>
      </w:r>
      <w:r>
        <w:t xml:space="preserve">Appl. </w:t>
      </w:r>
      <w:r w:rsidRPr="00801DF0">
        <w:t>Nr. 37374/05</w:t>
      </w:r>
      <w:r>
        <w:t xml:space="preserve"> – </w:t>
      </w:r>
      <w:r w:rsidRPr="00FD6686">
        <w:rPr>
          <w:rFonts w:eastAsiaTheme="majorEastAsia"/>
        </w:rPr>
        <w:t>Társaság</w:t>
      </w:r>
      <w:r>
        <w:rPr>
          <w:rFonts w:eastAsiaTheme="majorEastAsia"/>
        </w:rPr>
        <w:t xml:space="preserve"> </w:t>
      </w:r>
      <w:r w:rsidRPr="00FD6686">
        <w:rPr>
          <w:rFonts w:eastAsiaTheme="majorEastAsia"/>
        </w:rPr>
        <w:t xml:space="preserve">a Szabadságjogokért </w:t>
      </w:r>
      <w:r>
        <w:rPr>
          <w:rFonts w:eastAsiaTheme="majorEastAsia"/>
        </w:rPr>
        <w:t>v,</w:t>
      </w:r>
      <w:r w:rsidRPr="00FD6686">
        <w:rPr>
          <w:rFonts w:eastAsiaTheme="majorEastAsia"/>
        </w:rPr>
        <w:t xml:space="preserve"> Ungarn, §§ 27-28</w:t>
      </w:r>
      <w:r>
        <w:rPr>
          <w:rFonts w:eastAsiaTheme="majorEastAsia"/>
        </w:rPr>
        <w:t xml:space="preserve">; EGMR, Urteil v. 21.3.2024 – Appl. No. 10103/20 – </w:t>
      </w:r>
      <w:r w:rsidRPr="00FD6686">
        <w:rPr>
          <w:rFonts w:eastAsiaTheme="majorEastAsia"/>
        </w:rPr>
        <w:t xml:space="preserve">Sieć Obywatelska Watchdog Polska </w:t>
      </w:r>
      <w:r>
        <w:rPr>
          <w:rFonts w:eastAsiaTheme="majorEastAsia"/>
        </w:rPr>
        <w:t>v.</w:t>
      </w:r>
      <w:r w:rsidRPr="00FD6686">
        <w:rPr>
          <w:rFonts w:eastAsiaTheme="majorEastAsia"/>
        </w:rPr>
        <w:t xml:space="preserve"> Polen, § 60</w:t>
      </w:r>
      <w:r>
        <w:rPr>
          <w:rFonts w:eastAsiaTheme="majorEastAsia"/>
        </w:rPr>
        <w:t>,</w:t>
      </w:r>
    </w:p>
    <w:p w14:paraId="3ECA8DFA" w14:textId="77777777" w:rsidR="00DB5920" w:rsidRDefault="00DB5920" w:rsidP="00DB5920">
      <w:pPr>
        <w:rPr>
          <w:rFonts w:eastAsiaTheme="majorEastAsia"/>
        </w:rPr>
      </w:pPr>
      <w:r w:rsidRPr="00FD6686">
        <w:rPr>
          <w:rFonts w:eastAsiaTheme="majorEastAsia"/>
        </w:rPr>
        <w:t>für Journalisten</w:t>
      </w:r>
      <w:r>
        <w:rPr>
          <w:rFonts w:eastAsiaTheme="majorEastAsia"/>
        </w:rPr>
        <w:t>,</w:t>
      </w:r>
      <w:r w:rsidRPr="00FD6686">
        <w:rPr>
          <w:rFonts w:eastAsiaTheme="majorEastAsia"/>
        </w:rPr>
        <w:t xml:space="preserve"> </w:t>
      </w:r>
    </w:p>
    <w:p w14:paraId="7BB57AE5" w14:textId="77777777" w:rsidR="00DB5920" w:rsidRDefault="00DB5920" w:rsidP="00DB5920">
      <w:pPr>
        <w:ind w:left="708"/>
        <w:rPr>
          <w:rFonts w:eastAsiaTheme="majorEastAsia"/>
        </w:rPr>
      </w:pPr>
      <w:r>
        <w:rPr>
          <w:rFonts w:eastAsiaTheme="majorEastAsia"/>
        </w:rPr>
        <w:t>EGMR, Urteil v. 28.11.2013 appl. No. 39534/07 – Ö</w:t>
      </w:r>
      <w:r w:rsidRPr="00FD6686">
        <w:rPr>
          <w:rFonts w:eastAsiaTheme="majorEastAsia"/>
        </w:rPr>
        <w:t xml:space="preserve">sterreichische Vereinigung zur Erhaltung, Stärkung und Schaffung </w:t>
      </w:r>
      <w:r>
        <w:rPr>
          <w:rFonts w:eastAsiaTheme="majorEastAsia"/>
        </w:rPr>
        <w:t>v.</w:t>
      </w:r>
      <w:r w:rsidRPr="00FD6686">
        <w:rPr>
          <w:rFonts w:eastAsiaTheme="majorEastAsia"/>
        </w:rPr>
        <w:t xml:space="preserve"> Österreich, § 36; </w:t>
      </w:r>
      <w:r>
        <w:rPr>
          <w:rFonts w:eastAsiaTheme="majorEastAsia"/>
        </w:rPr>
        <w:t xml:space="preserve">EGMR, Urteil v. 24.06.2014 – Appl. No 27329/06 – </w:t>
      </w:r>
      <w:r w:rsidRPr="00FD6686">
        <w:rPr>
          <w:rFonts w:eastAsiaTheme="majorEastAsia"/>
        </w:rPr>
        <w:t xml:space="preserve">Roşiianu </w:t>
      </w:r>
      <w:r>
        <w:rPr>
          <w:rFonts w:eastAsiaTheme="majorEastAsia"/>
        </w:rPr>
        <w:t>v.</w:t>
      </w:r>
      <w:r w:rsidRPr="00FD6686">
        <w:rPr>
          <w:rFonts w:eastAsiaTheme="majorEastAsia"/>
        </w:rPr>
        <w:t xml:space="preserve"> Rumänien,  § 63</w:t>
      </w:r>
    </w:p>
    <w:p w14:paraId="7C38A38A" w14:textId="77777777" w:rsidR="00DB5920" w:rsidRDefault="00DB5920" w:rsidP="00DB5920">
      <w:pPr>
        <w:rPr>
          <w:rFonts w:eastAsiaTheme="majorEastAsia"/>
        </w:rPr>
      </w:pPr>
      <w:r>
        <w:rPr>
          <w:rFonts w:eastAsiaTheme="majorEastAsia"/>
        </w:rPr>
        <w:t>und</w:t>
      </w:r>
      <w:r w:rsidRPr="00FD6686">
        <w:rPr>
          <w:rFonts w:eastAsiaTheme="majorEastAsia"/>
        </w:rPr>
        <w:t xml:space="preserve"> für akademische Forscher, </w:t>
      </w:r>
    </w:p>
    <w:p w14:paraId="23E6EB2E" w14:textId="77777777" w:rsidR="00DB5920" w:rsidRDefault="00DB5920" w:rsidP="00DB5920">
      <w:pPr>
        <w:ind w:firstLine="708"/>
        <w:rPr>
          <w:rFonts w:eastAsiaTheme="majorEastAsia"/>
        </w:rPr>
      </w:pPr>
      <w:r>
        <w:rPr>
          <w:rFonts w:eastAsiaTheme="majorEastAsia"/>
        </w:rPr>
        <w:t xml:space="preserve">EGMR, Urteil v. 18.06.2024 – 58029/12 et al – </w:t>
      </w:r>
      <w:r w:rsidRPr="00FD6686">
        <w:rPr>
          <w:rFonts w:eastAsiaTheme="majorEastAsia"/>
        </w:rPr>
        <w:t xml:space="preserve">Suprun </w:t>
      </w:r>
      <w:r>
        <w:rPr>
          <w:rFonts w:eastAsiaTheme="majorEastAsia"/>
        </w:rPr>
        <w:t>et al. V.</w:t>
      </w:r>
      <w:r w:rsidRPr="00FD6686">
        <w:rPr>
          <w:rFonts w:eastAsiaTheme="majorEastAsia"/>
        </w:rPr>
        <w:t xml:space="preserve"> Russland,</w:t>
      </w:r>
      <w:r>
        <w:rPr>
          <w:rFonts w:eastAsiaTheme="majorEastAsia"/>
        </w:rPr>
        <w:t xml:space="preserve"> </w:t>
      </w:r>
      <w:r w:rsidRPr="00FD6686">
        <w:rPr>
          <w:rFonts w:eastAsiaTheme="majorEastAsia"/>
        </w:rPr>
        <w:t>§ 73</w:t>
      </w:r>
    </w:p>
    <w:p w14:paraId="60103EBD" w14:textId="3C1D2908" w:rsidR="00DB5920" w:rsidRPr="00E73C76" w:rsidRDefault="00DB5920" w:rsidP="00DB5920">
      <w:pPr>
        <w:pStyle w:val="berschrift7"/>
      </w:pPr>
      <w:r w:rsidRPr="00E73C76">
        <w:t xml:space="preserve">Art der </w:t>
      </w:r>
      <w:r w:rsidRPr="007344FD">
        <w:t>angeforderten</w:t>
      </w:r>
      <w:r w:rsidRPr="00E73C76">
        <w:t xml:space="preserve"> Information </w:t>
      </w:r>
    </w:p>
    <w:p w14:paraId="6A43BFFC" w14:textId="77777777" w:rsidR="00DB5920" w:rsidRDefault="00DB5920" w:rsidP="00DB5920">
      <w:pPr>
        <w:rPr>
          <w:rFonts w:eastAsiaTheme="majorEastAsia"/>
        </w:rPr>
      </w:pPr>
      <w:r>
        <w:rPr>
          <w:rFonts w:eastAsiaTheme="majorEastAsia"/>
        </w:rPr>
        <w:t xml:space="preserve">Der EGMR prüft weiter, ob die Information selbst von allgemeinem öffentlichem Interesse ist. </w:t>
      </w:r>
    </w:p>
    <w:p w14:paraId="442912E5" w14:textId="77777777" w:rsidR="00DB5920" w:rsidRDefault="00DB5920" w:rsidP="00DB5920">
      <w:pPr>
        <w:rPr>
          <w:rFonts w:eastAsiaTheme="majorEastAsia"/>
        </w:rPr>
      </w:pPr>
      <w:r>
        <w:rPr>
          <w:rFonts w:eastAsiaTheme="majorEastAsia"/>
        </w:rPr>
        <w:t>Dies hänge</w:t>
      </w:r>
      <w:r w:rsidRPr="00FD6686">
        <w:rPr>
          <w:rFonts w:eastAsiaTheme="majorEastAsia"/>
        </w:rPr>
        <w:t xml:space="preserve"> von den Umständen</w:t>
      </w:r>
      <w:r>
        <w:rPr>
          <w:rFonts w:eastAsiaTheme="majorEastAsia"/>
        </w:rPr>
        <w:t xml:space="preserve"> </w:t>
      </w:r>
      <w:r w:rsidRPr="00FD6686">
        <w:rPr>
          <w:rFonts w:eastAsiaTheme="majorEastAsia"/>
        </w:rPr>
        <w:t xml:space="preserve">des jeweiligen Einzelfalls ab. </w:t>
      </w:r>
      <w:r>
        <w:rPr>
          <w:rFonts w:eastAsiaTheme="majorEastAsia"/>
        </w:rPr>
        <w:t xml:space="preserve">Öffentliches Interesse in diesem Sinne bestehe jedenfalls </w:t>
      </w:r>
      <w:r w:rsidRPr="00F32D6B">
        <w:rPr>
          <w:rFonts w:eastAsiaTheme="majorEastAsia"/>
        </w:rPr>
        <w:t>für Angelegenheiten, die zu erheblichen Kontroversen führen kön</w:t>
      </w:r>
      <w:r w:rsidRPr="00F32D6B">
        <w:rPr>
          <w:rFonts w:eastAsiaTheme="majorEastAsia"/>
        </w:rPr>
        <w:lastRenderedPageBreak/>
        <w:t>nen, die</w:t>
      </w:r>
      <w:r>
        <w:rPr>
          <w:rFonts w:eastAsiaTheme="majorEastAsia"/>
        </w:rPr>
        <w:t xml:space="preserve"> </w:t>
      </w:r>
      <w:r w:rsidRPr="00F32D6B">
        <w:rPr>
          <w:rFonts w:eastAsiaTheme="majorEastAsia"/>
        </w:rPr>
        <w:t>ein wichtiges soziales Thema betreffen oder die ein Problem beinhalten, an dem die Öffentlichkeit ein Interesse daran hat,</w:t>
      </w:r>
      <w:r>
        <w:rPr>
          <w:rFonts w:eastAsiaTheme="majorEastAsia"/>
        </w:rPr>
        <w:t xml:space="preserve"> </w:t>
      </w:r>
      <w:r w:rsidRPr="00F32D6B">
        <w:rPr>
          <w:rFonts w:eastAsiaTheme="majorEastAsia"/>
        </w:rPr>
        <w:t xml:space="preserve">informiert zu werden. Das öffentliche Interesse </w:t>
      </w:r>
      <w:r>
        <w:rPr>
          <w:rFonts w:eastAsiaTheme="majorEastAsia"/>
        </w:rPr>
        <w:t>könne</w:t>
      </w:r>
      <w:r w:rsidRPr="00F32D6B">
        <w:rPr>
          <w:rFonts w:eastAsiaTheme="majorEastAsia"/>
        </w:rPr>
        <w:t xml:space="preserve"> nicht auf das Verlangen der Öffentlichkeit nach Informationen</w:t>
      </w:r>
      <w:r>
        <w:rPr>
          <w:rFonts w:eastAsiaTheme="majorEastAsia"/>
        </w:rPr>
        <w:t xml:space="preserve"> </w:t>
      </w:r>
      <w:r w:rsidRPr="00F32D6B">
        <w:rPr>
          <w:rFonts w:eastAsiaTheme="majorEastAsia"/>
        </w:rPr>
        <w:t>über das Privatleben anderer oder auf den Wunsch des Publikums nach Sensationslust oder sogar Voyeurismus reduziert werden.</w:t>
      </w:r>
    </w:p>
    <w:p w14:paraId="76C6A7B1" w14:textId="77777777" w:rsidR="00DB5920" w:rsidRPr="00FD6686" w:rsidRDefault="00DB5920" w:rsidP="00DB5920">
      <w:pPr>
        <w:ind w:left="708"/>
        <w:rPr>
          <w:i/>
          <w:lang w:val="en-GB"/>
        </w:rPr>
      </w:pPr>
      <w:r w:rsidRPr="00FD6686">
        <w:rPr>
          <w:i/>
          <w:lang w:val="en-GB"/>
        </w:rPr>
        <w:t xml:space="preserve">“Maintaining this approach, the Court considers that the information, data or documents to which access is sought must generally meet a </w:t>
      </w:r>
      <w:r w:rsidRPr="00FD6686">
        <w:rPr>
          <w:i/>
          <w:u w:val="single"/>
          <w:lang w:val="en-GB"/>
        </w:rPr>
        <w:t>public</w:t>
      </w:r>
      <w:r w:rsidRPr="00FD6686">
        <w:rPr>
          <w:i/>
          <w:u w:val="single"/>
          <w:lang w:val="en-GB"/>
        </w:rPr>
        <w:noBreakHyphen/>
        <w:t>interest test</w:t>
      </w:r>
      <w:r w:rsidRPr="00FD6686">
        <w:rPr>
          <w:i/>
          <w:lang w:val="en-GB"/>
        </w:rPr>
        <w:t xml:space="preserve"> in order to prompt a need for disclosure under the Convention. Such a need may exist where, inter alia, disclosure provides transparency on the manner of conduct of public affairs and on matters of interest for society as a whole and thereby allows participation in public governance by the public at large.</w:t>
      </w:r>
    </w:p>
    <w:p w14:paraId="3E1C1C99" w14:textId="77777777" w:rsidR="00DB5920" w:rsidRPr="001B4DC5" w:rsidRDefault="00DB5920" w:rsidP="00DB5920">
      <w:pPr>
        <w:ind w:left="708"/>
        <w:rPr>
          <w:lang w:val="en-GB"/>
        </w:rPr>
      </w:pPr>
      <w:r w:rsidRPr="00FD6686">
        <w:rPr>
          <w:i/>
          <w:lang w:val="en-GB"/>
        </w:rPr>
        <w:t>The Court has emphasised that the definition of what might constitute a subject of public interest will depend on the circumstances of each case. The public interest relates to matters which affect the public to such an extent that it may legitimately take an interest in them, which attract its attention or which concern it to a significant degree, especially in that they affect the well-being of citizens or the life of the community. This is also the case with regard to matters which are capable of giving rise to considerable controversy, which concern an important social issue, or which involve a problem that the public would have an interest in being informed about. The public interest cannot be reduced to the public’s thirst for information about the private life of others, or to an audience’s wish for sensationalism or even voyeurism. In order to ascertain whether a publication relates to a subject of general importance, it is necessary to assess the publication as a whole, having regard to the context in which it appears (see Couderc and Hachette Filipacchi Associés v. France [GC], no. </w:t>
      </w:r>
      <w:hyperlink r:id="rId8" w:anchor="{&quot;appno&quot;:[&quot;40454/07&quot;]}" w:tgtFrame="_blank" w:history="1">
        <w:r w:rsidRPr="00FD6686">
          <w:rPr>
            <w:rStyle w:val="Hyperlink"/>
            <w:i/>
            <w:lang w:val="en-GB"/>
          </w:rPr>
          <w:t>40454/07</w:t>
        </w:r>
      </w:hyperlink>
      <w:r w:rsidRPr="00FD6686">
        <w:rPr>
          <w:i/>
          <w:lang w:val="en-GB"/>
        </w:rPr>
        <w:t>, §§ 97 to 103, ECHR 2015 (extracts), with further references</w:t>
      </w:r>
      <w:r w:rsidRPr="00FD6686">
        <w:rPr>
          <w:lang w:val="en-GB"/>
        </w:rPr>
        <w:t>).“</w:t>
      </w:r>
    </w:p>
    <w:p w14:paraId="5781F79E" w14:textId="77777777" w:rsidR="00DB5920" w:rsidRDefault="00DB5920" w:rsidP="00DB5920">
      <w:pPr>
        <w:ind w:left="708"/>
        <w:rPr>
          <w:rFonts w:eastAsiaTheme="majorEastAsia"/>
          <w:lang w:val="en-GB"/>
        </w:rPr>
      </w:pPr>
      <w:r w:rsidRPr="007E7019">
        <w:rPr>
          <w:lang w:val="en-GB"/>
        </w:rPr>
        <w:t xml:space="preserve">EGMR Urt. V. 8. Nov. 2016 – Appl. No. 18030/11 </w:t>
      </w:r>
      <w:r>
        <w:rPr>
          <w:lang w:val="en-GB"/>
        </w:rPr>
        <w:t>–</w:t>
      </w:r>
      <w:r w:rsidRPr="007E7019">
        <w:rPr>
          <w:lang w:val="en-GB"/>
        </w:rPr>
        <w:t xml:space="preserve"> </w:t>
      </w:r>
      <w:r w:rsidRPr="007E7019">
        <w:rPr>
          <w:rFonts w:eastAsiaTheme="majorEastAsia"/>
          <w:lang w:val="en-GB"/>
        </w:rPr>
        <w:t>Magyar Helsinki Bizottság / Ungarn</w:t>
      </w:r>
      <w:r>
        <w:rPr>
          <w:rFonts w:eastAsiaTheme="majorEastAsia"/>
          <w:lang w:val="en-GB"/>
        </w:rPr>
        <w:t xml:space="preserve">, §§ 161 – 162. </w:t>
      </w:r>
    </w:p>
    <w:p w14:paraId="548E928C" w14:textId="60974914" w:rsidR="00DB5920" w:rsidRPr="00E73C76" w:rsidRDefault="00DB5920" w:rsidP="00DB5920">
      <w:pPr>
        <w:pStyle w:val="berschrift7"/>
      </w:pPr>
      <w:r w:rsidRPr="00E73C76">
        <w:t xml:space="preserve">Rolle des </w:t>
      </w:r>
      <w:r w:rsidRPr="007344FD">
        <w:t>Antragstellers</w:t>
      </w:r>
      <w:r w:rsidRPr="00E73C76">
        <w:t xml:space="preserve"> </w:t>
      </w:r>
    </w:p>
    <w:p w14:paraId="7C98E810" w14:textId="77777777" w:rsidR="00DB5920" w:rsidRDefault="00DB5920" w:rsidP="00DB5920">
      <w:pPr>
        <w:rPr>
          <w:rFonts w:eastAsiaTheme="majorEastAsia"/>
        </w:rPr>
      </w:pPr>
      <w:r>
        <w:rPr>
          <w:rFonts w:eastAsiaTheme="majorEastAsia"/>
        </w:rPr>
        <w:t xml:space="preserve">Der Antragsteller muss außerdem eine besondere Rolle in dem Empfang und der Weitergabe der Informationen an die Öffentlichkeit einnehmen. </w:t>
      </w:r>
    </w:p>
    <w:p w14:paraId="110B9A89" w14:textId="77777777" w:rsidR="00DB5920" w:rsidRPr="00FD6686" w:rsidRDefault="00DB5920" w:rsidP="00DB5920">
      <w:pPr>
        <w:rPr>
          <w:rFonts w:eastAsiaTheme="majorEastAsia"/>
        </w:rPr>
      </w:pPr>
      <w:r>
        <w:rPr>
          <w:rFonts w:eastAsiaTheme="majorEastAsia"/>
        </w:rPr>
        <w:lastRenderedPageBreak/>
        <w:t xml:space="preserve">Dies ist allgemein mit dem Stichwort „public watchdog“ gemeint, und kann sich von der Presse, Nichtregierungsorganisationen und der Wissenschaft bis zum einzelnen Rechteinhaber erstrecken.  </w:t>
      </w:r>
    </w:p>
    <w:p w14:paraId="40F47650" w14:textId="3F21D27E" w:rsidR="00DB5920" w:rsidRPr="00E73C76" w:rsidRDefault="00DB5920" w:rsidP="00DB5920">
      <w:pPr>
        <w:pStyle w:val="berschrift7"/>
      </w:pPr>
      <w:r w:rsidRPr="007344FD">
        <w:t>Verfügbarkeit</w:t>
      </w:r>
      <w:r w:rsidRPr="00E73C76">
        <w:t xml:space="preserve"> der Information</w:t>
      </w:r>
    </w:p>
    <w:p w14:paraId="7D6BB6D9" w14:textId="77777777" w:rsidR="00DB5920" w:rsidRDefault="00DB5920" w:rsidP="00DB5920">
      <w:pPr>
        <w:rPr>
          <w:rFonts w:eastAsiaTheme="majorEastAsia"/>
        </w:rPr>
      </w:pPr>
      <w:r>
        <w:rPr>
          <w:rFonts w:eastAsiaTheme="majorEastAsia"/>
        </w:rPr>
        <w:t xml:space="preserve">Das Kriterium der Verfügbarkeit der Informationen ist maßgeblich für die Frage, ob </w:t>
      </w:r>
      <w:r w:rsidRPr="00FD60C3">
        <w:rPr>
          <w:rFonts w:eastAsiaTheme="majorEastAsia"/>
        </w:rPr>
        <w:t>eine Verweigerung der Bereitstellung der</w:t>
      </w:r>
      <w:r>
        <w:rPr>
          <w:rFonts w:eastAsiaTheme="majorEastAsia"/>
        </w:rPr>
        <w:t xml:space="preserve"> </w:t>
      </w:r>
      <w:r w:rsidRPr="00FD60C3">
        <w:rPr>
          <w:rFonts w:eastAsiaTheme="majorEastAsia"/>
        </w:rPr>
        <w:t xml:space="preserve">Informationen </w:t>
      </w:r>
      <w:r>
        <w:rPr>
          <w:rFonts w:eastAsiaTheme="majorEastAsia"/>
        </w:rPr>
        <w:t>einen</w:t>
      </w:r>
      <w:r w:rsidRPr="00FD60C3">
        <w:rPr>
          <w:rFonts w:eastAsiaTheme="majorEastAsia"/>
        </w:rPr>
        <w:t xml:space="preserve"> „Eingriff“ in die </w:t>
      </w:r>
      <w:r>
        <w:rPr>
          <w:rFonts w:eastAsiaTheme="majorEastAsia"/>
        </w:rPr>
        <w:t xml:space="preserve">Informationsfreiheit darstellt. </w:t>
      </w:r>
    </w:p>
    <w:p w14:paraId="2852903B" w14:textId="77777777" w:rsidR="00DB5920" w:rsidRDefault="00DB5920" w:rsidP="00DB5920">
      <w:pPr>
        <w:rPr>
          <w:rFonts w:eastAsiaTheme="majorEastAsia"/>
        </w:rPr>
      </w:pPr>
      <w:r>
        <w:rPr>
          <w:rFonts w:eastAsiaTheme="majorEastAsia"/>
        </w:rPr>
        <w:t xml:space="preserve">In seinem Urteil RS </w:t>
      </w:r>
      <w:r w:rsidRPr="00644D61">
        <w:rPr>
          <w:rFonts w:eastAsiaTheme="majorEastAsia"/>
        </w:rPr>
        <w:t>Šeks gegen Kroatien</w:t>
      </w:r>
      <w:r>
        <w:rPr>
          <w:rFonts w:eastAsiaTheme="majorEastAsia"/>
        </w:rPr>
        <w:t xml:space="preserve"> (</w:t>
      </w:r>
      <w:r>
        <w:t xml:space="preserve">EGMR, Urteil v. 3. Februar 2022 – Appl. No. 39325/ 20 – Šeks v. Croatia) hat der EGMR festgestellt, </w:t>
      </w:r>
      <w:r w:rsidRPr="00644D61">
        <w:rPr>
          <w:rFonts w:eastAsiaTheme="majorEastAsia"/>
        </w:rPr>
        <w:t>dass trotz der Tatsache, dass die Freigabe der</w:t>
      </w:r>
      <w:r>
        <w:rPr>
          <w:rFonts w:eastAsiaTheme="majorEastAsia"/>
        </w:rPr>
        <w:t xml:space="preserve"> begehrten </w:t>
      </w:r>
      <w:r w:rsidRPr="00644D61">
        <w:rPr>
          <w:rFonts w:eastAsiaTheme="majorEastAsia"/>
        </w:rPr>
        <w:t xml:space="preserve">Dokumente ein mühsamer Prozess </w:t>
      </w:r>
      <w:r>
        <w:rPr>
          <w:rFonts w:eastAsiaTheme="majorEastAsia"/>
        </w:rPr>
        <w:t>sei</w:t>
      </w:r>
      <w:r w:rsidRPr="00644D61">
        <w:rPr>
          <w:rFonts w:eastAsiaTheme="majorEastAsia"/>
        </w:rPr>
        <w:t xml:space="preserve">, an dem mehrere verschiedene Behörden beteiligt </w:t>
      </w:r>
      <w:r>
        <w:rPr>
          <w:rFonts w:eastAsiaTheme="majorEastAsia"/>
        </w:rPr>
        <w:t>seien</w:t>
      </w:r>
      <w:r w:rsidRPr="00644D61">
        <w:rPr>
          <w:rFonts w:eastAsiaTheme="majorEastAsia"/>
        </w:rPr>
        <w:t>,</w:t>
      </w:r>
      <w:r>
        <w:rPr>
          <w:rFonts w:eastAsiaTheme="majorEastAsia"/>
        </w:rPr>
        <w:t xml:space="preserve"> </w:t>
      </w:r>
      <w:r w:rsidRPr="00644D61">
        <w:rPr>
          <w:rFonts w:eastAsiaTheme="majorEastAsia"/>
        </w:rPr>
        <w:t xml:space="preserve">nichts darauf hindeute, dass die angeforderten Unterlagen nicht </w:t>
      </w:r>
      <w:r>
        <w:rPr>
          <w:rFonts w:eastAsiaTheme="majorEastAsia"/>
        </w:rPr>
        <w:t>„</w:t>
      </w:r>
      <w:r w:rsidRPr="00644D61">
        <w:rPr>
          <w:rFonts w:eastAsiaTheme="majorEastAsia"/>
        </w:rPr>
        <w:t xml:space="preserve">bereit </w:t>
      </w:r>
      <w:r>
        <w:rPr>
          <w:rFonts w:eastAsiaTheme="majorEastAsia"/>
        </w:rPr>
        <w:t>und</w:t>
      </w:r>
      <w:r w:rsidRPr="00644D61">
        <w:rPr>
          <w:rFonts w:eastAsiaTheme="majorEastAsia"/>
        </w:rPr>
        <w:t xml:space="preserve"> verfügbar</w:t>
      </w:r>
      <w:r>
        <w:rPr>
          <w:rFonts w:eastAsiaTheme="majorEastAsia"/>
        </w:rPr>
        <w:t>“</w:t>
      </w:r>
      <w:r w:rsidRPr="00644D61">
        <w:rPr>
          <w:rFonts w:eastAsiaTheme="majorEastAsia"/>
        </w:rPr>
        <w:t xml:space="preserve"> gewesen wären</w:t>
      </w:r>
      <w:r>
        <w:rPr>
          <w:rFonts w:eastAsiaTheme="majorEastAsia"/>
        </w:rPr>
        <w:t>. D</w:t>
      </w:r>
      <w:r w:rsidRPr="00644D61">
        <w:rPr>
          <w:rFonts w:eastAsiaTheme="majorEastAsia"/>
        </w:rPr>
        <w:t xml:space="preserve">er Antragsteller, ein pensionierter Politiker, </w:t>
      </w:r>
      <w:r>
        <w:rPr>
          <w:rFonts w:eastAsiaTheme="majorEastAsia"/>
        </w:rPr>
        <w:t xml:space="preserve">begehrte in dem zugrundeliegenden Verfahren </w:t>
      </w:r>
      <w:r w:rsidRPr="00644D61">
        <w:rPr>
          <w:rFonts w:eastAsiaTheme="majorEastAsia"/>
        </w:rPr>
        <w:t>Zugang zu den</w:t>
      </w:r>
      <w:r>
        <w:rPr>
          <w:rFonts w:eastAsiaTheme="majorEastAsia"/>
        </w:rPr>
        <w:t xml:space="preserve"> </w:t>
      </w:r>
      <w:r w:rsidRPr="00644D61">
        <w:rPr>
          <w:rFonts w:eastAsiaTheme="majorEastAsia"/>
        </w:rPr>
        <w:t>geheimen Unterlagen des Präsidenten im Rahmen seiner Recherchen für ein historisches Buch über die Gründung</w:t>
      </w:r>
      <w:r>
        <w:rPr>
          <w:rFonts w:eastAsiaTheme="majorEastAsia"/>
        </w:rPr>
        <w:t xml:space="preserve"> </w:t>
      </w:r>
      <w:r w:rsidRPr="00644D61">
        <w:rPr>
          <w:rFonts w:eastAsiaTheme="majorEastAsia"/>
        </w:rPr>
        <w:t>der Republik Kroatien</w:t>
      </w:r>
      <w:r>
        <w:rPr>
          <w:rFonts w:eastAsiaTheme="majorEastAsia"/>
        </w:rPr>
        <w:t>.</w:t>
      </w:r>
    </w:p>
    <w:p w14:paraId="0273E268" w14:textId="77777777" w:rsidR="00DB5920" w:rsidRPr="00FD60C3" w:rsidRDefault="00DB5920" w:rsidP="00DB5920">
      <w:pPr>
        <w:ind w:firstLine="708"/>
        <w:rPr>
          <w:rFonts w:eastAsiaTheme="majorEastAsia"/>
        </w:rPr>
      </w:pPr>
      <w:r>
        <w:rPr>
          <w:rFonts w:eastAsiaTheme="majorEastAsia"/>
        </w:rPr>
        <w:t>Vgl.</w:t>
      </w:r>
      <w:r w:rsidRPr="00644D61">
        <w:rPr>
          <w:rFonts w:eastAsiaTheme="majorEastAsia"/>
        </w:rPr>
        <w:t xml:space="preserve"> </w:t>
      </w:r>
      <w:r>
        <w:t xml:space="preserve">EGMR, Urteil vom 3. Februar 2022 – Appl. No. 39325/ 20 – Šeks v. Croatia, </w:t>
      </w:r>
      <w:r w:rsidRPr="00644D61">
        <w:rPr>
          <w:rFonts w:eastAsiaTheme="majorEastAsia"/>
        </w:rPr>
        <w:t>§ 42</w:t>
      </w:r>
      <w:r>
        <w:rPr>
          <w:rFonts w:eastAsiaTheme="majorEastAsia"/>
        </w:rPr>
        <w:t xml:space="preserve"> </w:t>
      </w:r>
    </w:p>
    <w:p w14:paraId="32C16163" w14:textId="77777777" w:rsidR="00DB5920" w:rsidRPr="00FD6686" w:rsidRDefault="00DB5920" w:rsidP="00DB5920">
      <w:pPr>
        <w:rPr>
          <w:rFonts w:eastAsiaTheme="majorEastAsia"/>
        </w:rPr>
      </w:pPr>
      <w:r>
        <w:rPr>
          <w:rFonts w:eastAsiaTheme="majorEastAsia"/>
        </w:rPr>
        <w:t xml:space="preserve">Im Rahmen der Verfügbarkeit von Informationen ist auch </w:t>
      </w:r>
      <w:r w:rsidRPr="00FD6686">
        <w:rPr>
          <w:rFonts w:eastAsiaTheme="majorEastAsia"/>
        </w:rPr>
        <w:t>der Einwand, dass die Zusammenstellung der Informationen im Einzelfall schwieri</w:t>
      </w:r>
      <w:r>
        <w:rPr>
          <w:rFonts w:eastAsiaTheme="majorEastAsia"/>
        </w:rPr>
        <w:t>g sei, nicht von Belang</w:t>
      </w:r>
      <w:r w:rsidRPr="00FD6686">
        <w:rPr>
          <w:rFonts w:eastAsiaTheme="majorEastAsia"/>
        </w:rPr>
        <w:t xml:space="preserve">.  </w:t>
      </w:r>
    </w:p>
    <w:p w14:paraId="3FC1CFE2" w14:textId="77777777" w:rsidR="00DB5920" w:rsidRPr="00A16CA4" w:rsidRDefault="00DB5920" w:rsidP="00DB5920">
      <w:pPr>
        <w:ind w:left="708"/>
        <w:rPr>
          <w:rFonts w:eastAsiaTheme="majorEastAsia"/>
        </w:rPr>
      </w:pPr>
      <w:r w:rsidRPr="00FD6686">
        <w:rPr>
          <w:rFonts w:eastAsiaTheme="majorEastAsia"/>
        </w:rPr>
        <w:t xml:space="preserve">EGMR vom 28. November 2013 </w:t>
      </w:r>
      <w:r>
        <w:rPr>
          <w:rFonts w:eastAsiaTheme="majorEastAsia"/>
        </w:rPr>
        <w:t>–</w:t>
      </w:r>
      <w:r w:rsidRPr="00FD6686">
        <w:rPr>
          <w:rFonts w:eastAsiaTheme="majorEastAsia"/>
        </w:rPr>
        <w:t xml:space="preserve"> 39534/07 </w:t>
      </w:r>
      <w:r>
        <w:rPr>
          <w:rFonts w:eastAsiaTheme="majorEastAsia"/>
        </w:rPr>
        <w:t>–</w:t>
      </w:r>
      <w:r w:rsidRPr="00FD6686">
        <w:rPr>
          <w:rFonts w:eastAsiaTheme="majorEastAsia"/>
        </w:rPr>
        <w:t xml:space="preserve"> „Österreichische Vereinigung zur Erhaltung, Stärkung und Schaffung eines wirtschaftlichen gesunden land- und forstwirtschaftlichen Grundbesitzes gegen Österreich“.</w:t>
      </w:r>
    </w:p>
    <w:p w14:paraId="0950F56F" w14:textId="77777777" w:rsidR="00DB5920" w:rsidRDefault="00DB5920" w:rsidP="00DB5920">
      <w:pPr>
        <w:rPr>
          <w:rFonts w:eastAsiaTheme="majorEastAsia"/>
        </w:rPr>
      </w:pPr>
      <w:r w:rsidRPr="007E7019">
        <w:rPr>
          <w:rFonts w:eastAsiaTheme="majorEastAsia"/>
        </w:rPr>
        <w:t>Während der EGMR d</w:t>
      </w:r>
      <w:r>
        <w:rPr>
          <w:rFonts w:eastAsiaTheme="majorEastAsia"/>
        </w:rPr>
        <w:t xml:space="preserve">iese vier Kriterien in einzelnen Entscheidungen als „kumulativ“ oder „prinzipiell kumulativ“ fordert, </w:t>
      </w:r>
    </w:p>
    <w:p w14:paraId="01E45F1F" w14:textId="77777777" w:rsidR="00DB5920" w:rsidRPr="00B25037" w:rsidRDefault="00DB5920" w:rsidP="00DB5920">
      <w:pPr>
        <w:ind w:left="708"/>
      </w:pPr>
      <w:r>
        <w:rPr>
          <w:rFonts w:eastAsiaTheme="majorEastAsia"/>
        </w:rPr>
        <w:t>v</w:t>
      </w:r>
      <w:r w:rsidRPr="00B25037">
        <w:rPr>
          <w:rFonts w:eastAsiaTheme="majorEastAsia"/>
        </w:rPr>
        <w:t xml:space="preserve">gl. </w:t>
      </w:r>
      <w:r w:rsidRPr="007E7019">
        <w:t>EGMR</w:t>
      </w:r>
      <w:r>
        <w:t>,</w:t>
      </w:r>
      <w:r w:rsidRPr="007E7019">
        <w:t xml:space="preserve"> Urteil vom 08.11.2022 </w:t>
      </w:r>
      <w:r w:rsidRPr="00B25037">
        <w:t>– Appl. No.</w:t>
      </w:r>
      <w:r w:rsidRPr="007E7019">
        <w:t xml:space="preserve"> 8819/16 „Saure v. Germany“ –</w:t>
      </w:r>
      <w:r w:rsidRPr="00B25037">
        <w:t xml:space="preserve"> §34; E</w:t>
      </w:r>
      <w:r w:rsidRPr="007E7019">
        <w:t>GMR</w:t>
      </w:r>
      <w:r>
        <w:t>,</w:t>
      </w:r>
      <w:r w:rsidRPr="007E7019">
        <w:t xml:space="preserve"> Urteil vom 28. </w:t>
      </w:r>
      <w:r w:rsidRPr="00B25037">
        <w:t>Februar 2023 – Appl. No. 80857/17</w:t>
      </w:r>
      <w:r w:rsidRPr="007E7019">
        <w:t xml:space="preserve"> </w:t>
      </w:r>
      <w:r>
        <w:t>–</w:t>
      </w:r>
      <w:r w:rsidRPr="007E7019">
        <w:t xml:space="preserve"> </w:t>
      </w:r>
      <w:r w:rsidRPr="00B25037">
        <w:t xml:space="preserve">MITOV </w:t>
      </w:r>
      <w:r w:rsidRPr="007E7019">
        <w:t>et al v. Bulgaria</w:t>
      </w:r>
      <w:r>
        <w:t xml:space="preserve">, </w:t>
      </w:r>
    </w:p>
    <w:p w14:paraId="3121D9CA" w14:textId="77777777" w:rsidR="00DB5920" w:rsidRDefault="00DB5920" w:rsidP="00DB5920">
      <w:r>
        <w:t xml:space="preserve">prüft in den anderen Fällen die Kriterien nicht kumulativ, sondern alternativ. </w:t>
      </w:r>
    </w:p>
    <w:p w14:paraId="7AACF6B2" w14:textId="77777777" w:rsidR="00DB5920" w:rsidRDefault="00DB5920" w:rsidP="00DB5920">
      <w:pPr>
        <w:ind w:left="708"/>
      </w:pPr>
      <w:r>
        <w:t>Vgl. EGMR, Urteil vom</w:t>
      </w:r>
      <w:r w:rsidRPr="00166BD5">
        <w:t xml:space="preserve"> </w:t>
      </w:r>
      <w:r>
        <w:t xml:space="preserve">9 Dezember 2021 – </w:t>
      </w:r>
      <w:r w:rsidRPr="00166BD5">
        <w:t>Appl</w:t>
      </w:r>
      <w:r>
        <w:t xml:space="preserve">. </w:t>
      </w:r>
      <w:r w:rsidRPr="00166BD5">
        <w:t>Nos. 19925/12 and 47532/13</w:t>
      </w:r>
      <w:r>
        <w:t xml:space="preserve"> – Rovshan Hajiyev v. Azerbaijan, §§ 44-45; EGMR, Urteil vom 3 Februar 2022 – Appl. No. 39325/ 20 </w:t>
      </w:r>
      <w:r>
        <w:lastRenderedPageBreak/>
        <w:t xml:space="preserve">– Šeks v. Croatia, § 37; EGMR, Urteil vom 7. Juni 2022 – </w:t>
      </w:r>
      <w:r w:rsidRPr="00166BD5">
        <w:t>Appl</w:t>
      </w:r>
      <w:r>
        <w:t>.</w:t>
      </w:r>
      <w:r w:rsidRPr="00166BD5">
        <w:t xml:space="preserve"> No. </w:t>
      </w:r>
      <w:r w:rsidRPr="00FD6686">
        <w:t>28203/10</w:t>
      </w:r>
      <w:r>
        <w:t xml:space="preserve"> -  „Namazli v. Azerbaijan“ § 31. </w:t>
      </w:r>
    </w:p>
    <w:p w14:paraId="65FB8177" w14:textId="2B4BAA3E" w:rsidR="00DB5920" w:rsidRDefault="00DB5920" w:rsidP="00DB5920">
      <w:pPr>
        <w:pStyle w:val="berschrift6"/>
      </w:pPr>
      <w:r>
        <w:t>Verletzung der konventionsfreundlichen Auslegung durch das BVerwG</w:t>
      </w:r>
    </w:p>
    <w:p w14:paraId="7CA29B94" w14:textId="77777777" w:rsidR="00DB5920" w:rsidRDefault="00DB5920" w:rsidP="00DB5920">
      <w:r>
        <w:t>Das BVerwG wird in seinem Urteil diesen Maßstäben im Rahmen einer völker- bzw. konventionsfreundlichen Auslegung nicht gerecht. Art. 10 Abs. 1 EMRK gewährt dem Beschwerdeführer einen Anspruch nach Art. 5 Abs. 1 S. 1 Hs. 2 GG sowie § 10 Abs. 1 S. 1 BArchG.</w:t>
      </w:r>
    </w:p>
    <w:p w14:paraId="05376572" w14:textId="550AC98A" w:rsidR="00DB5920" w:rsidRDefault="00D15868" w:rsidP="00DB5920">
      <w:r>
        <w:t>Die Beschwerdeführerin</w:t>
      </w:r>
      <w:r w:rsidR="00DB5920">
        <w:t xml:space="preserve"> erfüllt alle Voraussetzungen der gefestigten Rechtsprechung des EGMR zur Begründung des Informationsanspruchs aus Art. 10 EMRK sind. </w:t>
      </w:r>
      <w:r>
        <w:t>Die Beschwerdeführerin</w:t>
      </w:r>
      <w:r w:rsidR="00DB5920">
        <w:t xml:space="preserve"> ist aus Art. 10 EMRK aktivlegitimiert. </w:t>
      </w:r>
      <w:r w:rsidR="00622E8E">
        <w:t>Sie</w:t>
      </w:r>
      <w:r w:rsidR="00DB5920">
        <w:t xml:space="preserve"> ist </w:t>
      </w:r>
      <w:r w:rsidR="00622E8E">
        <w:t xml:space="preserve">Publizistin, Autorin und Journalistin </w:t>
      </w:r>
      <w:r w:rsidR="00DB5920">
        <w:t xml:space="preserve">und begehrt die Informationen vom BND in </w:t>
      </w:r>
      <w:r w:rsidR="00622E8E">
        <w:t>ihrer</w:t>
      </w:r>
      <w:r w:rsidR="00DB5920">
        <w:t xml:space="preserve"> Funktion als „</w:t>
      </w:r>
      <w:r w:rsidR="00DB5920" w:rsidRPr="00FD6686">
        <w:rPr>
          <w:i/>
        </w:rPr>
        <w:t>public watchdog</w:t>
      </w:r>
      <w:r w:rsidR="00DB5920">
        <w:t xml:space="preserve">“. </w:t>
      </w:r>
      <w:r w:rsidR="00622E8E">
        <w:t>Sie</w:t>
      </w:r>
      <w:r w:rsidR="00DB5920">
        <w:t xml:space="preserve"> hat insbesondere bereits mehrfach </w:t>
      </w:r>
      <w:r w:rsidR="00622E8E">
        <w:t>zu den hier angefragten Themenkomplexen (Eichmann, Pariser Abrüstungsgifpel, Atomtests in Patagonien und Erbeben) publiziert.</w:t>
      </w:r>
    </w:p>
    <w:p w14:paraId="258E83E1" w14:textId="7E6F4D22" w:rsidR="00622E8E" w:rsidRDefault="00622E8E" w:rsidP="00622E8E">
      <w:pPr>
        <w:ind w:left="708"/>
      </w:pPr>
      <w:r>
        <w:t>Vgl. etwa Dr. Gabriele Weber, Drei Kreise des Abgrundes, Berlin, 2024</w:t>
      </w:r>
    </w:p>
    <w:p w14:paraId="60D139D0" w14:textId="77777777" w:rsidR="00622E8E" w:rsidRDefault="00622E8E" w:rsidP="00DB5920"/>
    <w:p w14:paraId="1B8F0EE0" w14:textId="77777777" w:rsidR="00622E8E" w:rsidRDefault="00DB5920" w:rsidP="00DB5920">
      <w:r>
        <w:t>Die begehrten Informationen gelten einer Angelegenheit von öffentlichem Interesse</w:t>
      </w:r>
      <w:r w:rsidR="00622E8E">
        <w:t xml:space="preserve">, nämlich der Aufklärung über die Verhaftung von Adolf Eichmann. </w:t>
      </w:r>
    </w:p>
    <w:p w14:paraId="3855C1CC" w14:textId="659EE39E" w:rsidR="00DB5920" w:rsidRDefault="00DB5920" w:rsidP="00DB5920">
      <w:r>
        <w:t>Die Informationen sind bereits aufgefunden und identifiziert und somit auch „</w:t>
      </w:r>
      <w:r w:rsidRPr="00FD6686">
        <w:rPr>
          <w:i/>
        </w:rPr>
        <w:t>ready and available</w:t>
      </w:r>
      <w:r>
        <w:t xml:space="preserve">“. Insbesondere führt ein etwaiges Geheimhaltungsinteresse nach der Rechtsprechung des EGMR nicht von vornherein dazu, dass die Informationen nicht verfügbar seien. </w:t>
      </w:r>
    </w:p>
    <w:p w14:paraId="4CF876AA" w14:textId="31FEB137" w:rsidR="00DB5920" w:rsidRDefault="00DB5920" w:rsidP="00DB5920">
      <w:r>
        <w:t xml:space="preserve">Durch das Urteil des BVerwG wird </w:t>
      </w:r>
      <w:r w:rsidR="00D15868">
        <w:t>die Beschwerdeführerin</w:t>
      </w:r>
      <w:r>
        <w:t xml:space="preserve"> mithin in der Ausübung des Rechts auf Informationszugang nach Art. 10 Abs. 1 EMRK beschränkt. </w:t>
      </w:r>
    </w:p>
    <w:p w14:paraId="72ED4380" w14:textId="18AE6BAD" w:rsidR="00DB5920" w:rsidRDefault="00DB5920" w:rsidP="00DB5920">
      <w:r>
        <w:t xml:space="preserve">Das BVerwG begründet die </w:t>
      </w:r>
      <w:r w:rsidR="00622E8E">
        <w:t xml:space="preserve">knapp und apodiktisch </w:t>
      </w:r>
      <w:r>
        <w:t>Einschränkung damit, dass ein Ausschlussgrund nach Art. 10 Abs. 2 EMRK vorliege</w:t>
      </w:r>
      <w:r w:rsidR="00622E8E">
        <w:t xml:space="preserve"> (Rn. 38 des Urteils).</w:t>
      </w:r>
    </w:p>
    <w:p w14:paraId="13438D59" w14:textId="77777777" w:rsidR="00DB5920" w:rsidRPr="00FD6686" w:rsidRDefault="00DB5920" w:rsidP="00DB5920">
      <w:r>
        <w:t xml:space="preserve">Ein Eingriff in den Art. 10 Abs 1 EMRK ist nach Art. 10 Abs. 2 EMRK gerechtfertigt, wenn er auf einer gesetzlichen Grundlage beruht, einem legitimen Zweck dient und in der demokratischen Gesellschaft zur Zweckerreichung notwendig ist. Notwendig ist ein Eingriff in die in Art. 10 Abs. 1 EMRK garantierten Rechte, wenn er dringenden gesellschaftlichen Bedürfnissen </w:t>
      </w:r>
      <w:r>
        <w:lastRenderedPageBreak/>
        <w:t xml:space="preserve">entspricht. Mit Blick auf Angelegenheiten von großem öffentlichem Interesse haben Vertragsstaaten jedoch einen eingeschränkten Ermessenspielraum bei der Auslegung von Art. 10 Abs. 2 EMRK. </w:t>
      </w:r>
    </w:p>
    <w:p w14:paraId="21924EF3" w14:textId="77777777" w:rsidR="00DB5920" w:rsidRPr="00FD6686" w:rsidRDefault="00DB5920" w:rsidP="00DB5920">
      <w:pPr>
        <w:ind w:left="708"/>
        <w:rPr>
          <w:lang w:val="en-GB"/>
        </w:rPr>
      </w:pPr>
      <w:r w:rsidRPr="00FD6686">
        <w:rPr>
          <w:lang w:val="en-GB"/>
        </w:rPr>
        <w:t>Vgl. EGMR Urt. v. 23.6.2016 – Appl. No. 20261/12 (Baka/Ungarn), NVwZ-RR 2017, 833 Rn. 161, beck-online</w:t>
      </w:r>
      <w:r>
        <w:rPr>
          <w:lang w:val="en-GB"/>
        </w:rPr>
        <w:t xml:space="preserve"> m.w.N.</w:t>
      </w:r>
    </w:p>
    <w:p w14:paraId="04EB7BED" w14:textId="062810F4" w:rsidR="00DB5920" w:rsidRDefault="00DB5920" w:rsidP="00DB5920">
      <w:r>
        <w:t xml:space="preserve">Der Ausschlussgrund nach § </w:t>
      </w:r>
      <w:r w:rsidR="00622E8E">
        <w:t>13 Abs. 1</w:t>
      </w:r>
      <w:r>
        <w:t xml:space="preserve"> BArchG stellt einen Gesetzesvorbehalt i.S.d. Art. 10 Abs. 2 EMRK dar. Die Einschränkung ist jedoch vorliegend zur Zweckerreichung nicht mehr „notwendig“. Unter Berücksichtigung der besonderen Umstände des Einzelfalles, in dem ein</w:t>
      </w:r>
      <w:r w:rsidR="00622E8E">
        <w:t>e</w:t>
      </w:r>
      <w:r>
        <w:t xml:space="preserve"> Journalist Informationen aus den 50er und 60er Jahren begehrt, welche die Zusammenarbeit des BND mit Personen mit gemeinsamer nationalsozialistischer Vergangenheit betrifft, ist die Einschränkung des Anspruchs auf Informationszugang nicht erforderlich. </w:t>
      </w:r>
    </w:p>
    <w:p w14:paraId="58FDD6B0" w14:textId="34325B94" w:rsidR="00DB5920" w:rsidRDefault="00DB5920" w:rsidP="00DB5920">
      <w:r w:rsidRPr="005C3D03">
        <w:t xml:space="preserve">Die </w:t>
      </w:r>
      <w:r>
        <w:t xml:space="preserve">Verwehrung des Informationszugangsrechts </w:t>
      </w:r>
      <w:r w:rsidR="00D15868">
        <w:t>der Beschwerdeführerin</w:t>
      </w:r>
      <w:r>
        <w:t xml:space="preserve"> entspricht auch nicht</w:t>
      </w:r>
      <w:r w:rsidRPr="005C3D03">
        <w:t xml:space="preserve"> </w:t>
      </w:r>
      <w:r>
        <w:t xml:space="preserve">einem </w:t>
      </w:r>
      <w:r w:rsidRPr="005C3D03">
        <w:t>dringende</w:t>
      </w:r>
      <w:r>
        <w:t>n</w:t>
      </w:r>
      <w:r w:rsidRPr="005C3D03">
        <w:t xml:space="preserve"> g</w:t>
      </w:r>
      <w:r>
        <w:t>esellschaftlichen Bedürfnis.</w:t>
      </w:r>
    </w:p>
    <w:p w14:paraId="1D22027E" w14:textId="77777777" w:rsidR="00DB5920" w:rsidRDefault="00DB5920" w:rsidP="00DB5920">
      <w:r>
        <w:tab/>
        <w:t xml:space="preserve">Vgl. EGMR, Urteil v. 30.5.2013- 36673/04 – Malofeyeva v. Russia, § 132. </w:t>
      </w:r>
    </w:p>
    <w:p w14:paraId="3CC66C79" w14:textId="348F4D4A" w:rsidR="00DB5920" w:rsidRDefault="00DB5920" w:rsidP="00DB5920">
      <w:r>
        <w:t xml:space="preserve">Die geltend gemachten Geheimhaltungsgründe vermögen aufgrund der lange abgeschlossenen Sachverhalte beim BND das Wohl des Bundes nicht derart tiefgreidend betreffen, dass das erhebliche Informationsinteresse </w:t>
      </w:r>
      <w:r w:rsidR="00D15868">
        <w:t>der Beschwerdeführerin</w:t>
      </w:r>
      <w:r>
        <w:t xml:space="preserve"> als „public watchdog“ im Sinne der Öffentlichkeit zurücktreten muss. </w:t>
      </w:r>
    </w:p>
    <w:p w14:paraId="451670EA" w14:textId="670A877C" w:rsidR="00E70FAA" w:rsidRDefault="00E70FAA" w:rsidP="00622E8E">
      <w:pPr>
        <w:pStyle w:val="berschrift4"/>
      </w:pPr>
      <w:r>
        <w:t>Verletzung von Art. 10 EMRK wg. Prüfung von Kopien</w:t>
      </w:r>
    </w:p>
    <w:p w14:paraId="07A8B673" w14:textId="50CAF462" w:rsidR="00E70FAA" w:rsidRDefault="00E70FAA" w:rsidP="00E70FAA">
      <w:r>
        <w:t xml:space="preserve">Der Fachsenat konnte bei der Überprüfung der Unterlagen entgegen dem üblichen Verfahren nicht die Originaldokumente einsehen. Der Fachsenat hat explizit darauf verzichtet, sich vom BND die Originale in Papierform bzw. als </w:t>
      </w:r>
      <w:r w:rsidRPr="00E70FAA">
        <w:t>Mikrofilm-/Mikrofiches-Sätze</w:t>
      </w:r>
      <w:r>
        <w:t xml:space="preserve"> übersenden zu lassen.</w:t>
      </w:r>
    </w:p>
    <w:p w14:paraId="5F89F056" w14:textId="382E0FB8" w:rsidR="00E70FAA" w:rsidRDefault="00E70FAA" w:rsidP="00E70FAA">
      <w:pPr>
        <w:ind w:left="708"/>
      </w:pPr>
      <w:r>
        <w:t>Vgl. Beschluss des Fachsenats vom 6. Februar 2025, Rn. 5 und 7 (b.v.).</w:t>
      </w:r>
    </w:p>
    <w:p w14:paraId="45FE7B0D" w14:textId="703B4700" w:rsidR="00E70FAA" w:rsidRDefault="009D3F80" w:rsidP="00E70FAA">
      <w:r>
        <w:t>Die Beschwerdeführerin hat dieses Vorgehen mit Schriftsatz vom 21. Mai 2026 umfänglich angegriffen.</w:t>
      </w:r>
    </w:p>
    <w:p w14:paraId="378F9DF7" w14:textId="2444BFF0" w:rsidR="009D3F80" w:rsidRDefault="009D3F80" w:rsidP="009D3F80">
      <w:pPr>
        <w:ind w:left="708"/>
      </w:pPr>
      <w:r>
        <w:t>Vgl. Klägerschriftsatz vom 21. Mai 2026, S. 2-4 (b.v.).</w:t>
      </w:r>
    </w:p>
    <w:p w14:paraId="74E13854" w14:textId="574A6486" w:rsidR="009D3F80" w:rsidRDefault="009D3F80" w:rsidP="009D3F80">
      <w:r>
        <w:lastRenderedPageBreak/>
        <w:t>Der erkennende Senat des BVerwG war der Ansicht, die bloße Vorlage von Kopien sei unschädlich, da keine Anhaltspunkte für Manipulationen vorlägen.</w:t>
      </w:r>
    </w:p>
    <w:p w14:paraId="6B097597" w14:textId="0226F8D9" w:rsidR="009D3F80" w:rsidRDefault="009D3F80" w:rsidP="009D3F80">
      <w:pPr>
        <w:ind w:left="708"/>
      </w:pPr>
      <w:r>
        <w:t>Vgl. Urteil vom 4. Juni 2026, Rn. 37 (b.v.).</w:t>
      </w:r>
    </w:p>
    <w:p w14:paraId="2E9DB757" w14:textId="11A68361" w:rsidR="009D3F80" w:rsidRDefault="009D3F80" w:rsidP="009D3F80">
      <w:r>
        <w:t>Dieser Hinweis überrascht und verdeutlicht zugleich das fehlende rechtliche Gehör der Beschwerdeführerin. Natürlich kann die Beschwerdeführerin keine Anhaltspunkte für eine etwaige Manipulation an den übermittelten Kopien vortragen, wenn sie die Kopien nicht kennt und im In-Camera-Verfahren nicht beteiligt ist.</w:t>
      </w:r>
    </w:p>
    <w:p w14:paraId="0657A5EF" w14:textId="20DD676A" w:rsidR="009D3F80" w:rsidRDefault="009D3F80" w:rsidP="009D3F80">
      <w:r>
        <w:t>Der EGMR hat 2026 zu Art. 10 EMRK betont, dass bei der Prüfung von angeblichen Geheimhaltungsgründen die jeweils entscheidenden Gremien die ungeschwärzten Dokumente unmittelbar prüfen müssen.</w:t>
      </w:r>
    </w:p>
    <w:p w14:paraId="534ADEE7" w14:textId="116B1C78" w:rsidR="009D3F80" w:rsidRDefault="009D3F80" w:rsidP="009D3F80">
      <w:pPr>
        <w:ind w:left="708"/>
        <w:rPr>
          <w:i/>
        </w:rPr>
      </w:pPr>
      <w:r>
        <w:rPr>
          <w:i/>
        </w:rPr>
        <w:t>„</w:t>
      </w:r>
      <w:r w:rsidRPr="009D3F80">
        <w:rPr>
          <w:i/>
        </w:rPr>
        <w:t>Der Gerichtshof stellt ferner fest, dass die Entscheidungen des</w:t>
      </w:r>
      <w:r>
        <w:rPr>
          <w:i/>
        </w:rPr>
        <w:t xml:space="preserve"> </w:t>
      </w:r>
      <w:r w:rsidRPr="009D3F80">
        <w:rPr>
          <w:i/>
        </w:rPr>
        <w:t xml:space="preserve">Ministers vom [erstinstanzlichen Gericht] und vom [Rechtsmittelgericht] überprüft </w:t>
      </w:r>
      <w:r>
        <w:rPr>
          <w:i/>
        </w:rPr>
        <w:t>wo</w:t>
      </w:r>
      <w:r w:rsidRPr="009D3F80">
        <w:rPr>
          <w:i/>
        </w:rPr>
        <w:t>rden, die beide</w:t>
      </w:r>
      <w:r>
        <w:rPr>
          <w:i/>
        </w:rPr>
        <w:t xml:space="preserve"> die</w:t>
      </w:r>
      <w:r w:rsidRPr="009D3F80">
        <w:rPr>
          <w:i/>
        </w:rPr>
        <w:t xml:space="preserve"> </w:t>
      </w:r>
      <w:r>
        <w:rPr>
          <w:i/>
        </w:rPr>
        <w:t>u</w:t>
      </w:r>
      <w:r w:rsidRPr="009D3F80">
        <w:rPr>
          <w:i/>
        </w:rPr>
        <w:t>ngeschwärzten</w:t>
      </w:r>
      <w:r>
        <w:rPr>
          <w:i/>
        </w:rPr>
        <w:t xml:space="preserve"> </w:t>
      </w:r>
      <w:r w:rsidRPr="009D3F80">
        <w:rPr>
          <w:i/>
        </w:rPr>
        <w:t>Fassungen der fraglichen Dokumente unmittelbar geprüft und</w:t>
      </w:r>
      <w:r>
        <w:rPr>
          <w:i/>
        </w:rPr>
        <w:t xml:space="preserve"> </w:t>
      </w:r>
      <w:r w:rsidRPr="009D3F80">
        <w:rPr>
          <w:i/>
        </w:rPr>
        <w:t>eine mündliche Verhandlung durchgeführt hatten, in der sie</w:t>
      </w:r>
      <w:r>
        <w:rPr>
          <w:i/>
        </w:rPr>
        <w:t xml:space="preserve"> </w:t>
      </w:r>
      <w:r w:rsidRPr="009D3F80">
        <w:rPr>
          <w:i/>
        </w:rPr>
        <w:t>die Ausführungen der Beschwerdeführer und des Ministers</w:t>
      </w:r>
      <w:r>
        <w:rPr>
          <w:i/>
        </w:rPr>
        <w:t xml:space="preserve"> hörten.“</w:t>
      </w:r>
    </w:p>
    <w:p w14:paraId="2B526C6A" w14:textId="452772F2" w:rsidR="009D3F80" w:rsidRDefault="009D3F80" w:rsidP="009D3F80">
      <w:pPr>
        <w:ind w:left="708"/>
      </w:pPr>
      <w:r>
        <w:t>EGMR (Vierte Sektion), Urteil vom 21. April .2026 - 20066/18 - Nederlondse 0mroep Stichling u.a. gegen Niederlande = AfP, 3/2026, 204, 206 (Rn. 100).</w:t>
      </w:r>
    </w:p>
    <w:p w14:paraId="3FD94421" w14:textId="67791A41" w:rsidR="009D3F80" w:rsidRPr="009D3F80" w:rsidRDefault="009D3F80" w:rsidP="009D3F80">
      <w:r>
        <w:t>Dieses Vorgehen haben der In-Camera-Senat und der erkennende Senat des BVerwG nicht beachtet. Damit ist Art. 10 EMRK verletzt.</w:t>
      </w:r>
    </w:p>
    <w:p w14:paraId="5610577B" w14:textId="3F51EDA4" w:rsidR="00DB5920" w:rsidRDefault="00DB5920" w:rsidP="00622E8E">
      <w:pPr>
        <w:pStyle w:val="berschrift4"/>
      </w:pPr>
      <w:r>
        <w:t>Verletzung von</w:t>
      </w:r>
      <w:r w:rsidRPr="00DA4737">
        <w:t xml:space="preserve"> Art. 6 EMRK </w:t>
      </w:r>
    </w:p>
    <w:p w14:paraId="4BF8F6EE" w14:textId="77777777" w:rsidR="00DB5920" w:rsidRDefault="00DB5920" w:rsidP="00DB5920">
      <w:r>
        <w:t xml:space="preserve">Das dem Urteil des BVerwG zugrundeliegende Verfahren verstößt zudem gegen Art. 6 EMRK. </w:t>
      </w:r>
    </w:p>
    <w:bookmarkEnd w:id="62"/>
    <w:p w14:paraId="2925DBDC" w14:textId="77777777" w:rsidR="00DB5920" w:rsidRDefault="00DB5920" w:rsidP="00DB5920">
      <w:r>
        <w:t xml:space="preserve">Art. 6 Abs. 1 S. 1 EMRK umfasst den Grundsatz der Öffentlichkeit des Verfahrens. </w:t>
      </w:r>
    </w:p>
    <w:p w14:paraId="2C7040C5" w14:textId="77777777" w:rsidR="00DB5920" w:rsidRDefault="00DB5920" w:rsidP="00DB5920">
      <w:r>
        <w:tab/>
        <w:t>Vgl. EGMR v. 14.11.2000 – 3511/97 Riepan/Österreich</w:t>
      </w:r>
    </w:p>
    <w:p w14:paraId="697181BB" w14:textId="77777777" w:rsidR="00DB5920" w:rsidRDefault="00DB5920" w:rsidP="00DB5920">
      <w:r>
        <w:t>Der Grundsatz der Öffentlichkeit soll insbesondere vor Geheimjustiz, also Entscheidungen „im Kämmerchen“ schützen, Vertrauen in die Rechtsprechung schaffen und ein faires Verfahren sichern.</w:t>
      </w:r>
    </w:p>
    <w:p w14:paraId="428ADDAB" w14:textId="03659874" w:rsidR="00DB5920" w:rsidRPr="005C3D03" w:rsidRDefault="00DB5920" w:rsidP="000D664F">
      <w:r>
        <w:lastRenderedPageBreak/>
        <w:t xml:space="preserve">Eine konventionsfreundliche Auslegung des § 99 Abs. 2 VwGO hätte daher zu dem Ergebnis führen müssen, dass eine Beteiligung </w:t>
      </w:r>
      <w:r w:rsidR="00D15868">
        <w:t>der Beschwerdeführerin</w:t>
      </w:r>
      <w:r>
        <w:t xml:space="preserve"> auch in dem In-Camera-Zwischenverfahren über die Geheimhaltungsbedürftigkeit der begehrten Unterlagen gewährleistet wird. Insbesondere hätte de</w:t>
      </w:r>
      <w:r w:rsidR="00622E8E">
        <w:t>r</w:t>
      </w:r>
      <w:r>
        <w:t xml:space="preserve"> Beschwerdeführer</w:t>
      </w:r>
      <w:r w:rsidR="00622E8E">
        <w:t>in</w:t>
      </w:r>
      <w:r>
        <w:t xml:space="preserve"> vor Erlass des Beschlusses durch den Fachsenat eine Möglichkeit der Stellungnahme zu dem konkreten Akteninhalt gegeben werden müssen. Dem Prozessbevollmächtigten </w:t>
      </w:r>
      <w:r w:rsidR="00D15868">
        <w:t>der Beschwerdeführerin</w:t>
      </w:r>
      <w:r>
        <w:t xml:space="preserve"> hätte zudem unter Geheimhaltungszusage im Rahmen eines sog. „closed-circuit-Verfahren“ Einsicht in die dem Fachsenat vorgelegten Akten gegeben werden müssen, damit die Äußerungs- und Beteiligtenrechte </w:t>
      </w:r>
      <w:r w:rsidR="00D15868">
        <w:t>der Beschwerdeführerin</w:t>
      </w:r>
      <w:r>
        <w:t xml:space="preserve"> auch im In-Camera-Verfahren gewahrt bleiben. Dies ist vorliegend nicht geschehen. </w:t>
      </w:r>
    </w:p>
    <w:p w14:paraId="6466B0D3" w14:textId="77777777" w:rsidR="00DB5920" w:rsidRDefault="00DB5920" w:rsidP="000D664F">
      <w:r>
        <w:t>Das Urteil des BVerwG beruht insofern auf einer völkerrechtsfeindlichen Auslegung der streitentscheidenden materiell-rechtlichen und prozessualen Normen.</w:t>
      </w:r>
    </w:p>
    <w:bookmarkEnd w:id="63"/>
    <w:p w14:paraId="0D6D247C" w14:textId="373AD6F9" w:rsidR="00DB5920" w:rsidRDefault="00DB5920" w:rsidP="00DB5920">
      <w:pPr>
        <w:pStyle w:val="berschrift2"/>
      </w:pPr>
      <w:r w:rsidRPr="008458EC">
        <w:t>Annahmegründe</w:t>
      </w:r>
    </w:p>
    <w:p w14:paraId="165EDC3D" w14:textId="77777777" w:rsidR="00DB5920" w:rsidRDefault="00DB5920" w:rsidP="00FD6928">
      <w:r>
        <w:t>Die Verfassungsbeschwerde ist zur Entscheidung anzunehmen. Es liegen Annahmegründe i.S.d. § 93a Abs. 2 BVerfGG vor.</w:t>
      </w:r>
    </w:p>
    <w:p w14:paraId="70744CE3" w14:textId="0C9E70B2" w:rsidR="00DB5920" w:rsidRPr="002F1E63" w:rsidRDefault="00DB5920" w:rsidP="00DB5920">
      <w:pPr>
        <w:pStyle w:val="berschrift3"/>
        <w:numPr>
          <w:ilvl w:val="0"/>
          <w:numId w:val="20"/>
        </w:numPr>
      </w:pPr>
      <w:r w:rsidRPr="002F1E63">
        <w:t>Grundsätzliche verfassungsrechtliche Bedeutung</w:t>
      </w:r>
    </w:p>
    <w:p w14:paraId="38B69E32" w14:textId="145072DA" w:rsidR="00DB5920" w:rsidRDefault="00DB5920" w:rsidP="00FD6928">
      <w:r>
        <w:t xml:space="preserve">Die verfassungsrechtlichen Fragen, die sich durch die dargelegten Verstöße des Urteils des BVerwG gegen die Grundrechte </w:t>
      </w:r>
      <w:r w:rsidR="00D15868">
        <w:t>der Beschwerdeführerin</w:t>
      </w:r>
      <w:r>
        <w:t xml:space="preserve"> ergeben, haben grundsätzliche Bedeutung.</w:t>
      </w:r>
    </w:p>
    <w:p w14:paraId="50DFB636" w14:textId="77777777" w:rsidR="00DB5920" w:rsidRPr="009334A6" w:rsidRDefault="00DB5920" w:rsidP="00FD6928">
      <w:pPr>
        <w:rPr>
          <w:b/>
          <w:bCs/>
          <w:sz w:val="22"/>
          <w:szCs w:val="22"/>
        </w:rPr>
      </w:pPr>
      <w:r w:rsidRPr="009334A6">
        <w:t xml:space="preserve">Grundsätzliche verfassungsrechtliche Bedeutung </w:t>
      </w:r>
      <w:r>
        <w:t xml:space="preserve">i.S.d. § 93a Abs. 2 lit. a BVerfGG </w:t>
      </w:r>
      <w:r w:rsidRPr="009334A6">
        <w:t>kommt einer Verfassungsbeschwerde zu, wenn sie eine verfassungsrechtliche Frage aufwirft, die sich nicht ohne Weiteres aus dem </w:t>
      </w:r>
      <w:r w:rsidRPr="008458EC">
        <w:t>Grundgesetz</w:t>
      </w:r>
      <w:r w:rsidRPr="009334A6">
        <w:t xml:space="preserve"> beantworten lässt und noch nicht durch die verfassungsgerichtliche Rechtsprechung geklärt oder die </w:t>
      </w:r>
      <w:r w:rsidRPr="008458EC">
        <w:t>durch veränderte Verhältnisse erneut klärungsbedürftig geworden</w:t>
      </w:r>
      <w:r w:rsidRPr="009334A6">
        <w:t xml:space="preserve"> ist.</w:t>
      </w:r>
    </w:p>
    <w:p w14:paraId="315E0B7C" w14:textId="3CA00406" w:rsidR="00DB5920" w:rsidRPr="00FD6928" w:rsidRDefault="00DB5920" w:rsidP="00FD6928">
      <w:pPr>
        <w:ind w:left="708"/>
        <w:rPr>
          <w:i/>
        </w:rPr>
      </w:pPr>
      <w:r w:rsidRPr="00FD6928">
        <w:rPr>
          <w:i/>
        </w:rPr>
        <w:t>„Anhaltspunkt für eine grundsätzliche Bedeutung in diesem Sinne kann sein, dass die Frage in der Fachliteratur kontrovers diskutiert oder in der Rechtsprechung der Fachgerichte unterschiedlich beantwortet wird. An ihrer Klärung muss zudem ein über den Einzelfall hina</w:t>
      </w:r>
      <w:r w:rsidR="00FD6928" w:rsidRPr="00FD6928">
        <w:rPr>
          <w:i/>
        </w:rPr>
        <w:t xml:space="preserve"> </w:t>
      </w:r>
      <w:r w:rsidRPr="00FD6928">
        <w:rPr>
          <w:i/>
        </w:rPr>
        <w:t>usgehendes Interesse bestehen. Das kann etwa dann der Fall sein, wenn sie für eine nicht unerhebliche Anzahl von Streitigkeiten bedeutsam ist oder ein Prob</w:t>
      </w:r>
      <w:r w:rsidRPr="00FD6928">
        <w:rPr>
          <w:i/>
        </w:rPr>
        <w:lastRenderedPageBreak/>
        <w:t>lem von einigem Gewicht betrifft, das in künftigen Fällen erneut Bedeutung erlangen kann.“</w:t>
      </w:r>
    </w:p>
    <w:p w14:paraId="7FEB7407" w14:textId="77777777" w:rsidR="00DB5920" w:rsidRDefault="00DB5920" w:rsidP="00DB5920">
      <w:pPr>
        <w:spacing w:line="276" w:lineRule="auto"/>
        <w:ind w:left="708"/>
      </w:pPr>
      <w:r w:rsidRPr="009334A6">
        <w:t>BVerfG, Beschluss vom 8. Februar 1994 – 1 BvR 1693/92 –, BVerfGE 90, 22-27, Rn. 11</w:t>
      </w:r>
    </w:p>
    <w:p w14:paraId="2317B4DA" w14:textId="70D7AFAE" w:rsidR="00FD6928" w:rsidRDefault="00DB5920" w:rsidP="00FD6928">
      <w:r>
        <w:t xml:space="preserve">Es ist durch das BVerfG zu klären, </w:t>
      </w:r>
      <w:r w:rsidR="00FD6928">
        <w:t>ob der erkennende Senat des BVerwG an die Entscheidung des Fachsenats aus dem In-Camera-Verfahren gebunden sein kann, ohne dass er diese Entscheidung inhaltlich nachvollziehen oder nachprüfen kann, und ohne dass die Beschwerdeführerin am In-Camera-Verfahren beteiligt war und gehört wurde.</w:t>
      </w:r>
    </w:p>
    <w:p w14:paraId="047F039D" w14:textId="1C145E38" w:rsidR="00DB5920" w:rsidRPr="002F1E63" w:rsidRDefault="00DB5920" w:rsidP="00DB5920">
      <w:pPr>
        <w:pStyle w:val="berschrift3"/>
      </w:pPr>
      <w:r w:rsidRPr="002F1E63">
        <w:t xml:space="preserve">Die Durchsetzung der Grundrechte </w:t>
      </w:r>
      <w:r w:rsidR="00D15868">
        <w:t>der Beschwerdeführerin</w:t>
      </w:r>
      <w:r w:rsidRPr="002F1E63">
        <w:t xml:space="preserve"> ist besonders gewichtig</w:t>
      </w:r>
    </w:p>
    <w:p w14:paraId="17BA4381" w14:textId="77777777" w:rsidR="00DB5920" w:rsidRDefault="00DB5920" w:rsidP="00FD6928">
      <w:r w:rsidRPr="00DF337F">
        <w:t>Die Verfassungsbeschwerde ist auch gem. § 93a Abs. 2 lit. b) BVer</w:t>
      </w:r>
      <w:r>
        <w:t>f</w:t>
      </w:r>
      <w:r w:rsidRPr="00DF337F">
        <w:t>GG zur Entscheidung anzunehmen.</w:t>
      </w:r>
    </w:p>
    <w:p w14:paraId="5FBC5872" w14:textId="4CD119DF" w:rsidR="00DB5920" w:rsidRPr="00DF337F" w:rsidRDefault="00DB5920" w:rsidP="00FD6928">
      <w:r>
        <w:t xml:space="preserve">Dies ist zur Durchsetzung der gerügten Grundrechte </w:t>
      </w:r>
      <w:r w:rsidR="00D15868">
        <w:t>der Beschwerdeführerin</w:t>
      </w:r>
      <w:r>
        <w:t xml:space="preserve"> angezeigt.</w:t>
      </w:r>
    </w:p>
    <w:p w14:paraId="5799EA2D" w14:textId="77777777" w:rsidR="00DB5920" w:rsidRPr="00330163" w:rsidRDefault="00DB5920" w:rsidP="00FD6928">
      <w:r w:rsidRPr="00330163">
        <w:t>Besonders gewichtig ist eine Grundrechtsverletzung, die auf eine generelle Vernachlässigung von Grundrechten hindeutet oder wegen ihrer Wirkung geeignet ist, von der Ausübung von Grundrechten abzuhalten. Die geltend gemachte Verletzung hat ferner dann besonderes Gewicht, wenn sie auf einer groben Verkennung des durch ein Grundrecht gewährten Schutzes oder einem geradezu leichtfertigen Umgang mit</w:t>
      </w:r>
      <w:r w:rsidRPr="00330163">
        <w:rPr>
          <w:rFonts w:ascii="DejaVuSansCondensed" w:hAnsi="DejaVuSansCondensed" w:cs="DejaVuSansCondensed"/>
          <w:sz w:val="22"/>
          <w:szCs w:val="22"/>
        </w:rPr>
        <w:t xml:space="preserve"> </w:t>
      </w:r>
      <w:r w:rsidRPr="00330163">
        <w:t xml:space="preserve">grundrechtlich geschützten Positionen beruht oder rechtsstaatliche Grundsätze </w:t>
      </w:r>
      <w:r>
        <w:t>erheblich</w:t>
      </w:r>
      <w:r w:rsidRPr="00330163">
        <w:t xml:space="preserve"> verletzt. </w:t>
      </w:r>
    </w:p>
    <w:p w14:paraId="46B9953E" w14:textId="77777777" w:rsidR="00DB5920" w:rsidRPr="00330163" w:rsidRDefault="00DB5920" w:rsidP="00FD6928">
      <w:pPr>
        <w:ind w:left="708"/>
      </w:pPr>
      <w:r>
        <w:t xml:space="preserve">Vgl. </w:t>
      </w:r>
      <w:r w:rsidRPr="00330163">
        <w:t>BVerfG, Beschluss vom 8. Februar 1994 – 1 BvR 1693/92 –, BVerfGE 90, 22-27, Rn. 13</w:t>
      </w:r>
    </w:p>
    <w:p w14:paraId="589F3DA5" w14:textId="77777777" w:rsidR="00DB5920" w:rsidRDefault="00DB5920" w:rsidP="00FD6928">
      <w:r>
        <w:t>Das Urteil des BVerwG verkürzt den Schutzbereich der gerügten Grundrechte im Bereich des nachrichtendienstlichen Geheimschutzes insgesamt und verkennt insofern die Betroffenheit dieser Grundrechte. Eine derart grobe Verkennung informationsfreiheitlicher Grundrechte ist geeignet, Grundrechtsträger von der Geltendmachung von Einsichts- oder Nutzungsansprüchen gegenüber den Nachrichtendiensten abzuhalten. Denn die Feststellung des BVerwG, dass Geheimhaltungsvorschriften schon den Schutzbereich des Grundrechts auf Informationsfreiheit nicht eröffnen, führt zu einem generellen Zurücktreten der Informationsfreiheit gegenüber geheimdienstlichen Vorgängen. Gleiches gilt für die Versuche der Presse und Wissenschaft, die Tätigkeiten und Verstrickungen der Nachrichtendienste aufzuklären und einer öffentlichen Kontrolle zugänglich zu machen.</w:t>
      </w:r>
    </w:p>
    <w:p w14:paraId="700CBFC6" w14:textId="69B2374E" w:rsidR="00DB5920" w:rsidRDefault="00DB5920" w:rsidP="00FD6928">
      <w:r>
        <w:lastRenderedPageBreak/>
        <w:t xml:space="preserve">Die Annahme einer präjudiziellen Wirkung von Entscheidungen der Fachsenate, die ihrerseits unter Ausschluss der Beteiligten getroffen werden, verkürzt zudem den rechtsstaatlichen Grundsatz effektiven Rechtsschutzes sowie den Anspruch auf rechtliches Gehör. In der Zusammenschau mit einer faktischen materiell-rechtlichen Bereichsausnahme steht die Entscheidung des BVerwG insoweit im Widerspruch mit rechtsstaatlichen Grundsätzen. Denn </w:t>
      </w:r>
      <w:r w:rsidR="00D15868">
        <w:t>die Beschwerdeführerin</w:t>
      </w:r>
      <w:r>
        <w:t xml:space="preserve"> wird nicht nur in seinen Grundrechten ausgehöhlt, er kann dies auch nicht prozessual sachgemäß geltend machen. Auch dies stellt eine gewichte Grundrechtsbetroffenheit dar, die verfassungsrechtlicher Klärung bedarf.</w:t>
      </w:r>
    </w:p>
    <w:p w14:paraId="34261128" w14:textId="77777777" w:rsidR="00DB5920" w:rsidRPr="00D61425" w:rsidRDefault="00DB5920" w:rsidP="00DB5920">
      <w:pPr>
        <w:spacing w:line="276" w:lineRule="auto"/>
      </w:pPr>
      <w:r>
        <w:t>Die Verfassungsbeschwerde ist nach alldem zur Entscheidung anzunehmen.</w:t>
      </w:r>
    </w:p>
    <w:p w14:paraId="336CF9AF" w14:textId="77777777" w:rsidR="00DB5920" w:rsidRPr="009334A6" w:rsidRDefault="00DB5920" w:rsidP="00DB5920">
      <w:pPr>
        <w:spacing w:line="276" w:lineRule="auto"/>
        <w:ind w:left="708"/>
        <w:rPr>
          <w:sz w:val="22"/>
          <w:szCs w:val="22"/>
        </w:rPr>
      </w:pPr>
    </w:p>
    <w:bookmarkEnd w:id="61"/>
    <w:p w14:paraId="474B6230" w14:textId="1D99924B" w:rsidR="00CF7ADB" w:rsidRPr="006C09B5" w:rsidRDefault="0030521D" w:rsidP="00B64D7B">
      <w:pPr>
        <w:spacing w:after="0"/>
      </w:pPr>
      <w:r>
        <w:t>Partsch</w:t>
      </w:r>
      <w:r w:rsidR="00DB5920">
        <w:tab/>
      </w:r>
      <w:r w:rsidR="00DB5920">
        <w:tab/>
      </w:r>
      <w:r w:rsidR="00DB5920">
        <w:tab/>
      </w:r>
      <w:r w:rsidR="00DB5920">
        <w:tab/>
      </w:r>
      <w:r w:rsidR="00DB5920">
        <w:tab/>
      </w:r>
      <w:r w:rsidR="00DB5920">
        <w:tab/>
      </w:r>
      <w:r w:rsidR="00DB5920">
        <w:tab/>
      </w:r>
      <w:r w:rsidR="00DB5920">
        <w:tab/>
      </w:r>
      <w:r w:rsidR="00DB5920">
        <w:tab/>
        <w:t>Beerwerth</w:t>
      </w:r>
    </w:p>
    <w:p w14:paraId="3202B29D" w14:textId="0E14441E" w:rsidR="00D0298C" w:rsidRDefault="004E0E53" w:rsidP="004254D0">
      <w:pPr>
        <w:spacing w:after="0"/>
      </w:pPr>
      <w:r>
        <w:t>Rechtsanwalt</w:t>
      </w:r>
      <w:r w:rsidR="00DB5920">
        <w:tab/>
      </w:r>
      <w:r w:rsidR="00DB5920">
        <w:tab/>
      </w:r>
      <w:r w:rsidR="00DB5920">
        <w:tab/>
      </w:r>
      <w:r w:rsidR="00DB5920">
        <w:tab/>
      </w:r>
      <w:r w:rsidR="00DB5920">
        <w:tab/>
      </w:r>
      <w:r w:rsidR="00DB5920">
        <w:tab/>
      </w:r>
      <w:r w:rsidR="00DB5920">
        <w:tab/>
      </w:r>
      <w:r w:rsidR="00DB5920">
        <w:tab/>
      </w:r>
      <w:r w:rsidR="00DB5920">
        <w:tab/>
        <w:t>Rechtsanwalt</w:t>
      </w:r>
    </w:p>
    <w:p w14:paraId="2C8B0F72" w14:textId="77777777" w:rsidR="009F601F" w:rsidRDefault="009F601F" w:rsidP="004254D0">
      <w:pPr>
        <w:spacing w:after="0"/>
      </w:pPr>
    </w:p>
    <w:p w14:paraId="6DDC5D28" w14:textId="6F42CAAE" w:rsidR="009F601F" w:rsidRPr="00770C85" w:rsidRDefault="009F601F" w:rsidP="004254D0">
      <w:pPr>
        <w:spacing w:after="0"/>
        <w:rPr>
          <w:sz w:val="16"/>
          <w:szCs w:val="16"/>
        </w:rPr>
      </w:pPr>
      <w:r w:rsidRPr="009F601F">
        <w:rPr>
          <w:sz w:val="16"/>
          <w:szCs w:val="16"/>
        </w:rPr>
        <w:t xml:space="preserve">Dieses Dokument ist elektronisch signiert, § </w:t>
      </w:r>
      <w:r w:rsidR="00DB5920">
        <w:rPr>
          <w:sz w:val="16"/>
          <w:szCs w:val="16"/>
        </w:rPr>
        <w:t>23a Abs.</w:t>
      </w:r>
      <w:r w:rsidRPr="009F601F">
        <w:rPr>
          <w:sz w:val="16"/>
          <w:szCs w:val="16"/>
        </w:rPr>
        <w:t xml:space="preserve"> 3 </w:t>
      </w:r>
      <w:bookmarkStart w:id="64" w:name="Schreibmarke"/>
      <w:bookmarkEnd w:id="64"/>
      <w:r w:rsidR="00DB5920">
        <w:rPr>
          <w:sz w:val="16"/>
          <w:szCs w:val="16"/>
        </w:rPr>
        <w:t>BVerfGG</w:t>
      </w:r>
    </w:p>
    <w:sectPr w:rsidR="009F601F" w:rsidRPr="00770C85" w:rsidSect="00C66B86">
      <w:headerReference w:type="default" r:id="rId9"/>
      <w:footerReference w:type="default" r:id="rId10"/>
      <w:headerReference w:type="first" r:id="rId11"/>
      <w:footerReference w:type="first" r:id="rId12"/>
      <w:pgSz w:w="11906" w:h="16838" w:code="9"/>
      <w:pgMar w:top="2381" w:right="1418" w:bottom="1134" w:left="1418" w:header="794" w:footer="1361"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7A6F3" w14:textId="77777777" w:rsidR="00AB263C" w:rsidRDefault="00AB263C" w:rsidP="00DC07B4">
      <w:pPr>
        <w:spacing w:after="0" w:line="240" w:lineRule="auto"/>
      </w:pPr>
      <w:r>
        <w:separator/>
      </w:r>
    </w:p>
  </w:endnote>
  <w:endnote w:type="continuationSeparator" w:id="0">
    <w:p w14:paraId="0D4C05D0" w14:textId="77777777" w:rsidR="00AB263C" w:rsidRDefault="00AB263C" w:rsidP="00DC0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pperplate32bc">
    <w:altName w:val="Calibri"/>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ejaVuSansCondense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779FD" w14:textId="77777777" w:rsidR="003F6424" w:rsidRDefault="003F6424" w:rsidP="00744AFC">
    <w:pPr>
      <w:pStyle w:val="Fuzeile"/>
      <w:jc w:val="center"/>
    </w:pPr>
  </w:p>
  <w:p w14:paraId="783FA291" w14:textId="77777777" w:rsidR="004E37A5" w:rsidRDefault="004E37A5" w:rsidP="00744AFC">
    <w:pPr>
      <w:pStyle w:val="Fuzeile"/>
      <w:jc w:val="center"/>
    </w:pPr>
  </w:p>
  <w:p w14:paraId="3C4C95B4" w14:textId="77777777" w:rsidR="003610F9" w:rsidRDefault="00744AFC" w:rsidP="00744AFC">
    <w:pPr>
      <w:pStyle w:val="Fuzeile"/>
      <w:jc w:val="center"/>
    </w:pPr>
    <w:r>
      <w:t xml:space="preserve">Seite </w:t>
    </w:r>
    <w:r>
      <w:rPr>
        <w:b/>
        <w:bCs/>
      </w:rPr>
      <w:fldChar w:fldCharType="begin"/>
    </w:r>
    <w:r>
      <w:rPr>
        <w:b/>
        <w:bCs/>
      </w:rPr>
      <w:instrText>PAGE  \* Arabic  \* MERGEFORMAT</w:instrText>
    </w:r>
    <w:r>
      <w:rPr>
        <w:b/>
        <w:bCs/>
      </w:rPr>
      <w:fldChar w:fldCharType="separate"/>
    </w:r>
    <w:r w:rsidR="004254D0">
      <w:rPr>
        <w:b/>
        <w:bCs/>
        <w:noProof/>
      </w:rPr>
      <w:t>2</w:t>
    </w:r>
    <w:r>
      <w:rPr>
        <w:b/>
        <w:bCs/>
      </w:rPr>
      <w:fldChar w:fldCharType="end"/>
    </w:r>
    <w:r>
      <w:t xml:space="preserve"> von </w:t>
    </w:r>
    <w:r>
      <w:rPr>
        <w:b/>
        <w:bCs/>
      </w:rPr>
      <w:fldChar w:fldCharType="begin"/>
    </w:r>
    <w:r>
      <w:rPr>
        <w:b/>
        <w:bCs/>
      </w:rPr>
      <w:instrText>NUMPAGES  \* Arabic  \* MERGEFORMAT</w:instrText>
    </w:r>
    <w:r>
      <w:rPr>
        <w:b/>
        <w:bCs/>
      </w:rPr>
      <w:fldChar w:fldCharType="separate"/>
    </w:r>
    <w:r w:rsidR="00731134">
      <w:rPr>
        <w:b/>
        <w:bCs/>
        <w:noProof/>
      </w:rPr>
      <w:t>1</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242EE" w14:textId="77777777" w:rsidR="00AA26D1" w:rsidRPr="00AA26D1" w:rsidRDefault="00AA26D1" w:rsidP="00AA26D1">
    <w:pPr>
      <w:pStyle w:val="Fuzeile"/>
      <w:jc w:val="center"/>
      <w:rPr>
        <w:sz w:val="18"/>
        <w:szCs w:val="18"/>
      </w:rPr>
    </w:pPr>
  </w:p>
  <w:p w14:paraId="692E73E2" w14:textId="1ADB4938" w:rsidR="00AA26D1" w:rsidRDefault="00AA2129">
    <w:pPr>
      <w:pStyle w:val="Fuzeile"/>
    </w:pPr>
    <w:r>
      <w:rPr>
        <w:noProof/>
      </w:rPr>
      <mc:AlternateContent>
        <mc:Choice Requires="wps">
          <w:drawing>
            <wp:anchor distT="0" distB="0" distL="114300" distR="114300" simplePos="0" relativeHeight="251657216" behindDoc="0" locked="0" layoutInCell="1" allowOverlap="1" wp14:anchorId="5DB8984B" wp14:editId="2B9F570D">
              <wp:simplePos x="0" y="0"/>
              <wp:positionH relativeFrom="column">
                <wp:posOffset>-448310</wp:posOffset>
              </wp:positionH>
              <wp:positionV relativeFrom="paragraph">
                <wp:posOffset>26670</wp:posOffset>
              </wp:positionV>
              <wp:extent cx="6796405" cy="742315"/>
              <wp:effectExtent l="4445" t="2540" r="0" b="0"/>
              <wp:wrapNone/>
              <wp:docPr id="236205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6405" cy="742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25B299" w14:textId="77777777" w:rsidR="007A2FE9" w:rsidRPr="00C203E2" w:rsidRDefault="007A2FE9" w:rsidP="007A2FE9">
                          <w:pPr>
                            <w:pStyle w:val="Fuzeile"/>
                            <w:jc w:val="center"/>
                            <w:rPr>
                              <w:rFonts w:ascii="Copperplate32bc" w:hAnsi="Copperplate32bc"/>
                              <w:sz w:val="17"/>
                              <w:szCs w:val="17"/>
                            </w:rPr>
                          </w:pPr>
                          <w:r w:rsidRPr="00C203E2">
                            <w:rPr>
                              <w:rFonts w:ascii="Copperplate32bc" w:hAnsi="Copperplate32bc"/>
                              <w:sz w:val="17"/>
                              <w:szCs w:val="17"/>
                            </w:rPr>
                            <w:t>KURFÜRSTENDAMM 50 ∙ 10707 BERLIN</w:t>
                          </w:r>
                        </w:p>
                        <w:p w14:paraId="11414F42" w14:textId="77777777" w:rsidR="007A2FE9" w:rsidRPr="00C203E2" w:rsidRDefault="00C203E2" w:rsidP="007A2FE9">
                          <w:pPr>
                            <w:pStyle w:val="Fuzeile"/>
                            <w:jc w:val="center"/>
                            <w:rPr>
                              <w:rFonts w:ascii="Copperplate32bc" w:hAnsi="Copperplate32bc"/>
                              <w:sz w:val="17"/>
                              <w:szCs w:val="17"/>
                            </w:rPr>
                          </w:pPr>
                          <w:r>
                            <w:rPr>
                              <w:rFonts w:ascii="Copperplate32bc" w:hAnsi="Copperplate32bc"/>
                              <w:sz w:val="17"/>
                              <w:szCs w:val="17"/>
                            </w:rPr>
                            <w:t>TEL. +49 (0)</w:t>
                          </w:r>
                          <w:r w:rsidR="007A2FE9" w:rsidRPr="00C203E2">
                            <w:rPr>
                              <w:rFonts w:ascii="Copperplate32bc" w:hAnsi="Copperplate32bc"/>
                              <w:sz w:val="17"/>
                              <w:szCs w:val="17"/>
                            </w:rPr>
                            <w:t>30</w:t>
                          </w:r>
                          <w:r>
                            <w:rPr>
                              <w:rFonts w:ascii="Copperplate32bc" w:hAnsi="Copperplate32bc"/>
                              <w:sz w:val="17"/>
                              <w:szCs w:val="17"/>
                            </w:rPr>
                            <w:t xml:space="preserve"> / </w:t>
                          </w:r>
                          <w:r w:rsidR="007A2FE9" w:rsidRPr="00C203E2">
                            <w:rPr>
                              <w:rFonts w:ascii="Copperplate32bc" w:hAnsi="Copperplate32bc"/>
                              <w:sz w:val="17"/>
                              <w:szCs w:val="17"/>
                            </w:rPr>
                            <w:t>887195-60 ∙ FAX +49</w:t>
                          </w:r>
                          <w:r>
                            <w:rPr>
                              <w:rFonts w:ascii="Copperplate32bc" w:hAnsi="Copperplate32bc"/>
                              <w:sz w:val="17"/>
                              <w:szCs w:val="17"/>
                            </w:rPr>
                            <w:t xml:space="preserve"> (0)30 / </w:t>
                          </w:r>
                          <w:r w:rsidR="007A2FE9" w:rsidRPr="00C203E2">
                            <w:rPr>
                              <w:rFonts w:ascii="Copperplate32bc" w:hAnsi="Copperplate32bc"/>
                              <w:sz w:val="17"/>
                              <w:szCs w:val="17"/>
                            </w:rPr>
                            <w:t xml:space="preserve">887195-62 ∙ </w:t>
                          </w:r>
                          <w:hyperlink r:id="rId1" w:history="1">
                            <w:r w:rsidR="007A2FE9" w:rsidRPr="00C203E2">
                              <w:rPr>
                                <w:rStyle w:val="Hyperlink"/>
                                <w:rFonts w:ascii="Copperplate32bc" w:hAnsi="Copperplate32bc"/>
                                <w:color w:val="auto"/>
                                <w:sz w:val="17"/>
                                <w:szCs w:val="17"/>
                                <w:u w:val="none"/>
                              </w:rPr>
                              <w:t>CP@PARTSCH-LAW.COM</w:t>
                            </w:r>
                          </w:hyperlink>
                          <w:r w:rsidR="007A2FE9" w:rsidRPr="00C203E2">
                            <w:rPr>
                              <w:rFonts w:ascii="Copperplate32bc" w:hAnsi="Copperplate32bc"/>
                              <w:sz w:val="17"/>
                              <w:szCs w:val="17"/>
                            </w:rPr>
                            <w:t xml:space="preserve"> ∙ WWW.PARTSCH-LAW.COM</w:t>
                          </w:r>
                        </w:p>
                        <w:p w14:paraId="118A48E2" w14:textId="77777777" w:rsidR="00A34D91" w:rsidRPr="00C203E2" w:rsidRDefault="000F2FCB" w:rsidP="00C203E2">
                          <w:pPr>
                            <w:spacing w:after="0" w:line="240" w:lineRule="auto"/>
                            <w:jc w:val="center"/>
                            <w:rPr>
                              <w:rFonts w:ascii="Copperplate32bc" w:hAnsi="Copperplate32bc"/>
                              <w:sz w:val="17"/>
                              <w:szCs w:val="17"/>
                            </w:rPr>
                          </w:pPr>
                          <w:r w:rsidRPr="00C203E2">
                            <w:rPr>
                              <w:rFonts w:ascii="Copperplate32bc" w:hAnsi="Copperplate32bc"/>
                              <w:sz w:val="17"/>
                              <w:szCs w:val="17"/>
                            </w:rPr>
                            <w:t>BERLINER VOLKSBANK eG</w:t>
                          </w:r>
                          <w:r w:rsidR="007A2FE9" w:rsidRPr="00C203E2">
                            <w:rPr>
                              <w:rFonts w:ascii="Copperplate32bc" w:hAnsi="Copperplate32bc"/>
                              <w:sz w:val="17"/>
                              <w:szCs w:val="17"/>
                            </w:rPr>
                            <w:t xml:space="preserve">, </w:t>
                          </w:r>
                          <w:r w:rsidR="003C4512" w:rsidRPr="00C203E2">
                            <w:rPr>
                              <w:rFonts w:ascii="Copperplate32bc" w:hAnsi="Copperplate32bc"/>
                              <w:sz w:val="17"/>
                              <w:szCs w:val="17"/>
                            </w:rPr>
                            <w:t xml:space="preserve"> </w:t>
                          </w:r>
                          <w:r w:rsidRPr="00C203E2">
                            <w:rPr>
                              <w:rFonts w:ascii="Copperplate32bc" w:hAnsi="Copperplate32bc"/>
                              <w:sz w:val="17"/>
                              <w:szCs w:val="17"/>
                            </w:rPr>
                            <w:t>DE02 1009 0000 2640 7570 03</w:t>
                          </w:r>
                          <w:r w:rsidR="003610F9" w:rsidRPr="00C203E2">
                            <w:rPr>
                              <w:rFonts w:ascii="Copperplate32bc" w:hAnsi="Copperplate32bc"/>
                              <w:sz w:val="17"/>
                              <w:szCs w:val="17"/>
                            </w:rPr>
                            <w:t>, BIC:</w:t>
                          </w:r>
                          <w:r w:rsidR="003C4512" w:rsidRPr="00C203E2">
                            <w:rPr>
                              <w:rFonts w:ascii="Copperplate32bc" w:hAnsi="Copperplate32bc"/>
                              <w:sz w:val="17"/>
                              <w:szCs w:val="17"/>
                            </w:rPr>
                            <w:t xml:space="preserve"> </w:t>
                          </w:r>
                          <w:r w:rsidRPr="00C203E2">
                            <w:rPr>
                              <w:rFonts w:ascii="Copperplate32bc" w:hAnsi="Copperplate32bc"/>
                              <w:sz w:val="17"/>
                              <w:szCs w:val="17"/>
                            </w:rPr>
                            <w:t>BEVODEBB</w:t>
                          </w:r>
                        </w:p>
                        <w:p w14:paraId="011AB888" w14:textId="77777777" w:rsidR="003C4512" w:rsidRPr="00C203E2" w:rsidRDefault="00C203E2" w:rsidP="007A2FE9">
                          <w:pPr>
                            <w:pStyle w:val="Fuzeile"/>
                            <w:jc w:val="center"/>
                            <w:rPr>
                              <w:rFonts w:ascii="Copperplate32bc" w:hAnsi="Copperplate32bc"/>
                              <w:sz w:val="17"/>
                              <w:szCs w:val="17"/>
                            </w:rPr>
                          </w:pPr>
                          <w:r w:rsidRPr="00C203E2">
                            <w:rPr>
                              <w:rFonts w:ascii="Copperplate32bc" w:hAnsi="Copperplate32bc"/>
                              <w:sz w:val="17"/>
                              <w:szCs w:val="17"/>
                            </w:rPr>
                            <w:t xml:space="preserve">UST-ID: DE 30 68 26 382 ∙  </w:t>
                          </w:r>
                          <w:r w:rsidR="00554AE0" w:rsidRPr="00C203E2">
                            <w:rPr>
                              <w:rFonts w:ascii="Copperplate32bc" w:hAnsi="Copperplate32bc"/>
                              <w:sz w:val="17"/>
                              <w:szCs w:val="17"/>
                            </w:rPr>
                            <w:t>AG CHARLOTTENBURG, PR 1085 B</w:t>
                          </w:r>
                        </w:p>
                        <w:p w14:paraId="7925F63F" w14:textId="77777777" w:rsidR="007A2FE9" w:rsidRPr="003610F9" w:rsidRDefault="007A2FE9" w:rsidP="00C203E2">
                          <w:pPr>
                            <w:pStyle w:val="Fuzeile"/>
                            <w:jc w:val="center"/>
                            <w:rPr>
                              <w:rFonts w:ascii="Copperplate32bc" w:hAnsi="Copperplate32bc"/>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DB8984B" id="_x0000_t202" coordsize="21600,21600" o:spt="202" path="m,l,21600r21600,l21600,xe">
              <v:stroke joinstyle="miter"/>
              <v:path gradientshapeok="t" o:connecttype="rect"/>
            </v:shapetype>
            <v:shape id="Text Box 4" o:spid="_x0000_s1030" type="#_x0000_t202" style="position:absolute;left:0;text-align:left;margin-left:-35.3pt;margin-top:2.1pt;width:535.15pt;height:58.4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" stroked="f">
              <v:textbox style="mso-fit-shape-to-text:t">
                <w:txbxContent>
                  <w:p w14:paraId="1025B299" w14:textId="77777777" w:rsidR="007A2FE9" w:rsidRPr="00C203E2" w:rsidRDefault="007A2FE9" w:rsidP="007A2FE9">
                    <w:pPr>
                      <w:pStyle w:val="Fuzeile"/>
                      <w:jc w:val="center"/>
                      <w:rPr>
                        <w:rFonts w:ascii="Copperplate32bc" w:hAnsi="Copperplate32bc"/>
                        <w:sz w:val="17"/>
                        <w:szCs w:val="17"/>
                      </w:rPr>
                    </w:pPr>
                    <w:r w:rsidRPr="00C203E2">
                      <w:rPr>
                        <w:rFonts w:ascii="Copperplate32bc" w:hAnsi="Copperplate32bc"/>
                        <w:sz w:val="17"/>
                        <w:szCs w:val="17"/>
                      </w:rPr>
                      <w:t>KURFÜRSTENDAMM 50 ∙ 10707 BERLIN</w:t>
                    </w:r>
                  </w:p>
                  <w:p w14:paraId="11414F42" w14:textId="77777777" w:rsidR="007A2FE9" w:rsidRPr="00C203E2" w:rsidRDefault="00C203E2" w:rsidP="007A2FE9">
                    <w:pPr>
                      <w:pStyle w:val="Fuzeile"/>
                      <w:jc w:val="center"/>
                      <w:rPr>
                        <w:rFonts w:ascii="Copperplate32bc" w:hAnsi="Copperplate32bc"/>
                        <w:sz w:val="17"/>
                        <w:szCs w:val="17"/>
                      </w:rPr>
                    </w:pPr>
                    <w:r>
                      <w:rPr>
                        <w:rFonts w:ascii="Copperplate32bc" w:hAnsi="Copperplate32bc"/>
                        <w:sz w:val="17"/>
                        <w:szCs w:val="17"/>
                      </w:rPr>
                      <w:t>TEL. +49 (0)</w:t>
                    </w:r>
                    <w:r w:rsidR="007A2FE9" w:rsidRPr="00C203E2">
                      <w:rPr>
                        <w:rFonts w:ascii="Copperplate32bc" w:hAnsi="Copperplate32bc"/>
                        <w:sz w:val="17"/>
                        <w:szCs w:val="17"/>
                      </w:rPr>
                      <w:t>30</w:t>
                    </w:r>
                    <w:r>
                      <w:rPr>
                        <w:rFonts w:ascii="Copperplate32bc" w:hAnsi="Copperplate32bc"/>
                        <w:sz w:val="17"/>
                        <w:szCs w:val="17"/>
                      </w:rPr>
                      <w:t xml:space="preserve"> / </w:t>
                    </w:r>
                    <w:r w:rsidR="007A2FE9" w:rsidRPr="00C203E2">
                      <w:rPr>
                        <w:rFonts w:ascii="Copperplate32bc" w:hAnsi="Copperplate32bc"/>
                        <w:sz w:val="17"/>
                        <w:szCs w:val="17"/>
                      </w:rPr>
                      <w:t>887195-60 ∙ FAX +49</w:t>
                    </w:r>
                    <w:r>
                      <w:rPr>
                        <w:rFonts w:ascii="Copperplate32bc" w:hAnsi="Copperplate32bc"/>
                        <w:sz w:val="17"/>
                        <w:szCs w:val="17"/>
                      </w:rPr>
                      <w:t xml:space="preserve"> (0)30 / </w:t>
                    </w:r>
                    <w:r w:rsidR="007A2FE9" w:rsidRPr="00C203E2">
                      <w:rPr>
                        <w:rFonts w:ascii="Copperplate32bc" w:hAnsi="Copperplate32bc"/>
                        <w:sz w:val="17"/>
                        <w:szCs w:val="17"/>
                      </w:rPr>
                      <w:t xml:space="preserve">887195-62 ∙ </w:t>
                    </w:r>
                    <w:hyperlink r:id="rId2" w:history="1">
                      <w:r w:rsidR="007A2FE9" w:rsidRPr="00C203E2">
                        <w:rPr>
                          <w:rStyle w:val="Hyperlink"/>
                          <w:rFonts w:ascii="Copperplate32bc" w:hAnsi="Copperplate32bc"/>
                          <w:color w:val="auto"/>
                          <w:sz w:val="17"/>
                          <w:szCs w:val="17"/>
                          <w:u w:val="none"/>
                        </w:rPr>
                        <w:t>CP@PARTSCH-LAW.COM</w:t>
                      </w:r>
                    </w:hyperlink>
                    <w:r w:rsidR="007A2FE9" w:rsidRPr="00C203E2">
                      <w:rPr>
                        <w:rFonts w:ascii="Copperplate32bc" w:hAnsi="Copperplate32bc"/>
                        <w:sz w:val="17"/>
                        <w:szCs w:val="17"/>
                      </w:rPr>
                      <w:t xml:space="preserve"> ∙ WWW.PARTSCH-LAW.COM</w:t>
                    </w:r>
                  </w:p>
                  <w:p w14:paraId="118A48E2" w14:textId="77777777" w:rsidR="00A34D91" w:rsidRPr="00C203E2" w:rsidRDefault="000F2FCB" w:rsidP="00C203E2">
                    <w:pPr>
                      <w:spacing w:after="0" w:line="240" w:lineRule="auto"/>
                      <w:jc w:val="center"/>
                      <w:rPr>
                        <w:rFonts w:ascii="Copperplate32bc" w:hAnsi="Copperplate32bc"/>
                        <w:sz w:val="17"/>
                        <w:szCs w:val="17"/>
                      </w:rPr>
                    </w:pPr>
                    <w:r w:rsidRPr="00C203E2">
                      <w:rPr>
                        <w:rFonts w:ascii="Copperplate32bc" w:hAnsi="Copperplate32bc"/>
                        <w:sz w:val="17"/>
                        <w:szCs w:val="17"/>
                      </w:rPr>
                      <w:t>BERLINER VOLKSBANK eG</w:t>
                    </w:r>
                    <w:r w:rsidR="007A2FE9" w:rsidRPr="00C203E2">
                      <w:rPr>
                        <w:rFonts w:ascii="Copperplate32bc" w:hAnsi="Copperplate32bc"/>
                        <w:sz w:val="17"/>
                        <w:szCs w:val="17"/>
                      </w:rPr>
                      <w:t xml:space="preserve">, </w:t>
                    </w:r>
                    <w:r w:rsidR="003C4512" w:rsidRPr="00C203E2">
                      <w:rPr>
                        <w:rFonts w:ascii="Copperplate32bc" w:hAnsi="Copperplate32bc"/>
                        <w:sz w:val="17"/>
                        <w:szCs w:val="17"/>
                      </w:rPr>
                      <w:t xml:space="preserve"> </w:t>
                    </w:r>
                    <w:r w:rsidRPr="00C203E2">
                      <w:rPr>
                        <w:rFonts w:ascii="Copperplate32bc" w:hAnsi="Copperplate32bc"/>
                        <w:sz w:val="17"/>
                        <w:szCs w:val="17"/>
                      </w:rPr>
                      <w:t>DE02 1009 0000 2640 7570 03</w:t>
                    </w:r>
                    <w:r w:rsidR="003610F9" w:rsidRPr="00C203E2">
                      <w:rPr>
                        <w:rFonts w:ascii="Copperplate32bc" w:hAnsi="Copperplate32bc"/>
                        <w:sz w:val="17"/>
                        <w:szCs w:val="17"/>
                      </w:rPr>
                      <w:t>, BIC:</w:t>
                    </w:r>
                    <w:r w:rsidR="003C4512" w:rsidRPr="00C203E2">
                      <w:rPr>
                        <w:rFonts w:ascii="Copperplate32bc" w:hAnsi="Copperplate32bc"/>
                        <w:sz w:val="17"/>
                        <w:szCs w:val="17"/>
                      </w:rPr>
                      <w:t xml:space="preserve"> </w:t>
                    </w:r>
                    <w:r w:rsidRPr="00C203E2">
                      <w:rPr>
                        <w:rFonts w:ascii="Copperplate32bc" w:hAnsi="Copperplate32bc"/>
                        <w:sz w:val="17"/>
                        <w:szCs w:val="17"/>
                      </w:rPr>
                      <w:t>BEVODEBB</w:t>
                    </w:r>
                  </w:p>
                  <w:p w14:paraId="011AB888" w14:textId="77777777" w:rsidR="003C4512" w:rsidRPr="00C203E2" w:rsidRDefault="00C203E2" w:rsidP="007A2FE9">
                    <w:pPr>
                      <w:pStyle w:val="Fuzeile"/>
                      <w:jc w:val="center"/>
                      <w:rPr>
                        <w:rFonts w:ascii="Copperplate32bc" w:hAnsi="Copperplate32bc"/>
                        <w:sz w:val="17"/>
                        <w:szCs w:val="17"/>
                      </w:rPr>
                    </w:pPr>
                    <w:r w:rsidRPr="00C203E2">
                      <w:rPr>
                        <w:rFonts w:ascii="Copperplate32bc" w:hAnsi="Copperplate32bc"/>
                        <w:sz w:val="17"/>
                        <w:szCs w:val="17"/>
                      </w:rPr>
                      <w:t xml:space="preserve">UST-ID: DE 30 68 26 382 ∙  </w:t>
                    </w:r>
                    <w:r w:rsidR="00554AE0" w:rsidRPr="00C203E2">
                      <w:rPr>
                        <w:rFonts w:ascii="Copperplate32bc" w:hAnsi="Copperplate32bc"/>
                        <w:sz w:val="17"/>
                        <w:szCs w:val="17"/>
                      </w:rPr>
                      <w:t>AG CHARLOTTENBURG, PR 1085 B</w:t>
                    </w:r>
                  </w:p>
                  <w:p w14:paraId="7925F63F" w14:textId="77777777" w:rsidR="007A2FE9" w:rsidRPr="003610F9" w:rsidRDefault="007A2FE9" w:rsidP="00C203E2">
                    <w:pPr>
                      <w:pStyle w:val="Fuzeile"/>
                      <w:jc w:val="center"/>
                      <w:rPr>
                        <w:rFonts w:ascii="Copperplate32bc" w:hAnsi="Copperplate32bc"/>
                        <w:sz w:val="16"/>
                        <w:szCs w:val="16"/>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913CC" w14:textId="77777777" w:rsidR="00AB263C" w:rsidRDefault="00AB263C" w:rsidP="00DC07B4">
      <w:pPr>
        <w:spacing w:after="0" w:line="240" w:lineRule="auto"/>
      </w:pPr>
      <w:r>
        <w:separator/>
      </w:r>
    </w:p>
  </w:footnote>
  <w:footnote w:type="continuationSeparator" w:id="0">
    <w:p w14:paraId="5F08E1A0" w14:textId="77777777" w:rsidR="00AB263C" w:rsidRDefault="00AB263C" w:rsidP="00DC0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5E496" w14:textId="1F439E8A" w:rsidR="00493CF6" w:rsidRPr="00744AFC" w:rsidRDefault="00AA2129" w:rsidP="00744AFC">
    <w:pPr>
      <w:pStyle w:val="Kopfzeile"/>
    </w:pPr>
    <w:r>
      <w:rPr>
        <w:noProof/>
      </w:rPr>
      <mc:AlternateContent>
        <mc:Choice Requires="wps">
          <w:drawing>
            <wp:anchor distT="0" distB="0" distL="114300" distR="114300" simplePos="0" relativeHeight="251659264" behindDoc="0" locked="0" layoutInCell="1" allowOverlap="1" wp14:anchorId="21C94EEC" wp14:editId="6ECBE601">
              <wp:simplePos x="0" y="0"/>
              <wp:positionH relativeFrom="column">
                <wp:posOffset>556895</wp:posOffset>
              </wp:positionH>
              <wp:positionV relativeFrom="paragraph">
                <wp:posOffset>45720</wp:posOffset>
              </wp:positionV>
              <wp:extent cx="4575175" cy="789305"/>
              <wp:effectExtent l="4445" t="0" r="1905" b="3810"/>
              <wp:wrapNone/>
              <wp:docPr id="88192649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5175" cy="789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A5F0CB" w14:textId="77777777" w:rsidR="004E37A5" w:rsidRPr="004E37A5" w:rsidRDefault="004E37A5" w:rsidP="00744AFC">
                          <w:pPr>
                            <w:spacing w:after="0" w:line="240" w:lineRule="auto"/>
                            <w:jc w:val="center"/>
                            <w:rPr>
                              <w:rFonts w:ascii="Copperplate32bc" w:hAnsi="Copperplate32bc"/>
                              <w:smallCaps/>
                              <w:sz w:val="24"/>
                              <w:szCs w:val="24"/>
                            </w:rPr>
                          </w:pPr>
                        </w:p>
                        <w:p w14:paraId="7E13720F" w14:textId="77777777" w:rsidR="004E37A5" w:rsidRPr="004E37A5" w:rsidRDefault="004E37A5" w:rsidP="00744AFC">
                          <w:pPr>
                            <w:spacing w:after="0" w:line="240" w:lineRule="auto"/>
                            <w:jc w:val="center"/>
                            <w:rPr>
                              <w:rFonts w:ascii="Copperplate32bc" w:hAnsi="Copperplate32bc"/>
                              <w:smallCaps/>
                              <w:sz w:val="24"/>
                              <w:szCs w:val="24"/>
                            </w:rPr>
                          </w:pPr>
                        </w:p>
                        <w:p w14:paraId="4B0BB33E" w14:textId="77777777" w:rsidR="00744AFC" w:rsidRPr="003610F9" w:rsidRDefault="00744AFC" w:rsidP="00744AFC">
                          <w:pPr>
                            <w:spacing w:after="0" w:line="240" w:lineRule="auto"/>
                            <w:jc w:val="center"/>
                            <w:rPr>
                              <w:rFonts w:ascii="Copperplate32bc" w:hAnsi="Copperplate32bc"/>
                              <w:smallCaps/>
                              <w:sz w:val="36"/>
                              <w:szCs w:val="36"/>
                            </w:rPr>
                          </w:pPr>
                          <w:r w:rsidRPr="003610F9">
                            <w:rPr>
                              <w:rFonts w:ascii="Copperplate32bc" w:hAnsi="Copperplate32bc"/>
                              <w:smallCaps/>
                              <w:sz w:val="36"/>
                              <w:szCs w:val="36"/>
                            </w:rPr>
                            <w:t>Partsch &amp; Partner Rechtsanwälte</w:t>
                          </w:r>
                        </w:p>
                        <w:p w14:paraId="1AE82CDD" w14:textId="77777777" w:rsidR="00744AFC" w:rsidRPr="00921E51" w:rsidRDefault="00744AFC" w:rsidP="00744AFC">
                          <w:pPr>
                            <w:spacing w:after="0" w:line="240" w:lineRule="auto"/>
                            <w:jc w:val="center"/>
                            <w:rPr>
                              <w:rFonts w:ascii="Copperplate32bc" w:hAnsi="Copperplate32bc"/>
                              <w:smallCaps/>
                              <w:sz w:val="6"/>
                              <w:szCs w:val="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C94EEC" id="_x0000_t202" coordsize="21600,21600" o:spt="202" path="m,l,21600r21600,l21600,xe">
              <v:stroke joinstyle="miter"/>
              <v:path gradientshapeok="t" o:connecttype="rect"/>
            </v:shapetype>
            <v:shape id="Text Box 1" o:spid="_x0000_s1027" type="#_x0000_t202" style="position:absolute;left:0;text-align:left;margin-left:43.85pt;margin-top:3.6pt;width:360.25pt;height:62.1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" stroked="f">
              <v:textbox style="mso-fit-shape-to-text:t">
                <w:txbxContent>
                  <w:p w14:paraId="49A5F0CB" w14:textId="77777777" w:rsidR="004E37A5" w:rsidRPr="004E37A5" w:rsidRDefault="004E37A5" w:rsidP="00744AFC">
                    <w:pPr>
                      <w:spacing w:after="0" w:line="240" w:lineRule="auto"/>
                      <w:jc w:val="center"/>
                      <w:rPr>
                        <w:rFonts w:ascii="Copperplate32bc" w:hAnsi="Copperplate32bc"/>
                        <w:smallCaps/>
                        <w:sz w:val="24"/>
                        <w:szCs w:val="24"/>
                      </w:rPr>
                    </w:pPr>
                  </w:p>
                  <w:p w14:paraId="7E13720F" w14:textId="77777777" w:rsidR="004E37A5" w:rsidRPr="004E37A5" w:rsidRDefault="004E37A5" w:rsidP="00744AFC">
                    <w:pPr>
                      <w:spacing w:after="0" w:line="240" w:lineRule="auto"/>
                      <w:jc w:val="center"/>
                      <w:rPr>
                        <w:rFonts w:ascii="Copperplate32bc" w:hAnsi="Copperplate32bc"/>
                        <w:smallCaps/>
                        <w:sz w:val="24"/>
                        <w:szCs w:val="24"/>
                      </w:rPr>
                    </w:pPr>
                  </w:p>
                  <w:p w14:paraId="4B0BB33E" w14:textId="77777777" w:rsidR="00744AFC" w:rsidRPr="003610F9" w:rsidRDefault="00744AFC" w:rsidP="00744AFC">
                    <w:pPr>
                      <w:spacing w:after="0" w:line="240" w:lineRule="auto"/>
                      <w:jc w:val="center"/>
                      <w:rPr>
                        <w:rFonts w:ascii="Copperplate32bc" w:hAnsi="Copperplate32bc"/>
                        <w:smallCaps/>
                        <w:sz w:val="36"/>
                        <w:szCs w:val="36"/>
                      </w:rPr>
                    </w:pPr>
                    <w:r w:rsidRPr="003610F9">
                      <w:rPr>
                        <w:rFonts w:ascii="Copperplate32bc" w:hAnsi="Copperplate32bc"/>
                        <w:smallCaps/>
                        <w:sz w:val="36"/>
                        <w:szCs w:val="36"/>
                      </w:rPr>
                      <w:t>Partsch &amp; Partner Rechtsanwälte</w:t>
                    </w:r>
                  </w:p>
                  <w:p w14:paraId="1AE82CDD" w14:textId="77777777" w:rsidR="00744AFC" w:rsidRPr="00921E51" w:rsidRDefault="00744AFC" w:rsidP="00744AFC">
                    <w:pPr>
                      <w:spacing w:after="0" w:line="240" w:lineRule="auto"/>
                      <w:jc w:val="center"/>
                      <w:rPr>
                        <w:rFonts w:ascii="Copperplate32bc" w:hAnsi="Copperplate32bc"/>
                        <w:smallCaps/>
                        <w:sz w:val="6"/>
                        <w:szCs w:val="6"/>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ADB12" w14:textId="0D32A56A" w:rsidR="00DC07B4" w:rsidRDefault="00AA2129">
    <w:pPr>
      <w:pStyle w:val="Kopfzeile"/>
    </w:pPr>
    <w:r>
      <w:rPr>
        <w:noProof/>
      </w:rPr>
      <mc:AlternateContent>
        <mc:Choice Requires="wps">
          <w:drawing>
            <wp:anchor distT="0" distB="0" distL="114300" distR="114300" simplePos="0" relativeHeight="251656192" behindDoc="0" locked="0" layoutInCell="1" allowOverlap="1" wp14:anchorId="42E57645" wp14:editId="0532E973">
              <wp:simplePos x="0" y="0"/>
              <wp:positionH relativeFrom="column">
                <wp:posOffset>-87630</wp:posOffset>
              </wp:positionH>
              <wp:positionV relativeFrom="paragraph">
                <wp:posOffset>1172210</wp:posOffset>
              </wp:positionV>
              <wp:extent cx="4044315" cy="354965"/>
              <wp:effectExtent l="3175" t="635" r="635" b="0"/>
              <wp:wrapNone/>
              <wp:docPr id="6709682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4315" cy="354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0587B5" w14:textId="77777777" w:rsidR="00056DDC" w:rsidRDefault="00056DDC" w:rsidP="00056DDC">
                          <w:pPr>
                            <w:spacing w:after="0" w:line="240" w:lineRule="auto"/>
                            <w:rPr>
                              <w:rFonts w:ascii="Copperplate32bc" w:hAnsi="Copperplate32bc"/>
                              <w:smallCaps/>
                              <w:sz w:val="17"/>
                              <w:szCs w:val="17"/>
                            </w:rPr>
                          </w:pPr>
                          <w:r>
                            <w:rPr>
                              <w:rFonts w:ascii="Copperplate32bc" w:hAnsi="Copperplate32bc"/>
                              <w:smallCaps/>
                              <w:sz w:val="17"/>
                              <w:szCs w:val="17"/>
                            </w:rPr>
                            <w:t>Partsch &amp; Partner Rechtsanwälte</w:t>
                          </w:r>
                        </w:p>
                        <w:p w14:paraId="1A340079" w14:textId="77777777" w:rsidR="00DC07B4" w:rsidRPr="00C203E2" w:rsidRDefault="000B7E1F" w:rsidP="00056DDC">
                          <w:pPr>
                            <w:spacing w:after="0" w:line="240" w:lineRule="auto"/>
                            <w:rPr>
                              <w:rFonts w:ascii="Copperplate32bc" w:hAnsi="Copperplate32bc"/>
                              <w:smallCaps/>
                              <w:sz w:val="17"/>
                              <w:szCs w:val="17"/>
                            </w:rPr>
                          </w:pPr>
                          <w:r w:rsidRPr="00C203E2">
                            <w:rPr>
                              <w:rFonts w:ascii="Copperplate32bc" w:hAnsi="Copperplate32bc"/>
                              <w:smallCaps/>
                              <w:sz w:val="17"/>
                              <w:szCs w:val="17"/>
                            </w:rPr>
                            <w:t>Kurfürstendamm</w:t>
                          </w:r>
                          <w:r w:rsidR="00D50770" w:rsidRPr="00C203E2">
                            <w:rPr>
                              <w:rFonts w:ascii="Copperplate32bc" w:hAnsi="Copperplate32bc"/>
                              <w:smallCaps/>
                              <w:sz w:val="17"/>
                              <w:szCs w:val="17"/>
                            </w:rPr>
                            <w:t xml:space="preserve"> </w:t>
                          </w:r>
                          <w:r w:rsidR="00056DDC">
                            <w:rPr>
                              <w:rFonts w:ascii="Copperplate32bc" w:hAnsi="Copperplate32bc"/>
                              <w:smallCaps/>
                              <w:sz w:val="17"/>
                              <w:szCs w:val="17"/>
                            </w:rPr>
                            <w:t>50</w:t>
                          </w:r>
                          <w:r w:rsidR="00F06297" w:rsidRPr="00C203E2">
                            <w:rPr>
                              <w:rFonts w:ascii="Copperplate32bc" w:hAnsi="Copperplate32bc"/>
                              <w:smallCaps/>
                              <w:sz w:val="17"/>
                              <w:szCs w:val="17"/>
                            </w:rPr>
                            <w:t xml:space="preserve"> </w:t>
                          </w:r>
                          <w:r w:rsidR="00E82D4A" w:rsidRPr="00C203E2">
                            <w:rPr>
                              <w:rFonts w:ascii="Copperplate32bc" w:hAnsi="Copperplate32bc"/>
                              <w:smallCaps/>
                              <w:sz w:val="17"/>
                              <w:szCs w:val="17"/>
                            </w:rPr>
                            <w:t>∙</w:t>
                          </w:r>
                          <w:r w:rsidR="00F06297" w:rsidRPr="00C203E2">
                            <w:rPr>
                              <w:rFonts w:ascii="Copperplate32bc" w:hAnsi="Copperplate32bc"/>
                              <w:smallCaps/>
                              <w:sz w:val="17"/>
                              <w:szCs w:val="17"/>
                            </w:rPr>
                            <w:t xml:space="preserve"> 10707 </w:t>
                          </w:r>
                          <w:r w:rsidRPr="00C203E2">
                            <w:rPr>
                              <w:rFonts w:ascii="Copperplate32bc" w:hAnsi="Copperplate32bc"/>
                              <w:smallCaps/>
                              <w:sz w:val="17"/>
                              <w:szCs w:val="17"/>
                            </w:rPr>
                            <w:t>Berlin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2E57645" id="_x0000_t202" coordsize="21600,21600" o:spt="202" path="m,l,21600r21600,l21600,xe">
              <v:stroke joinstyle="miter"/>
              <v:path gradientshapeok="t" o:connecttype="rect"/>
            </v:shapetype>
            <v:shape id="_x0000_s1028" type="#_x0000_t202" style="position:absolute;left:0;text-align:left;margin-left:-6.9pt;margin-top:92.3pt;width:318.45pt;height:27.9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" stroked="f">
              <v:textbox style="mso-fit-shape-to-text:t">
                <w:txbxContent>
                  <w:p w14:paraId="270587B5" w14:textId="77777777" w:rsidR="00056DDC" w:rsidRDefault="00056DDC" w:rsidP="00056DDC">
                    <w:pPr>
                      <w:spacing w:after="0" w:line="240" w:lineRule="auto"/>
                      <w:rPr>
                        <w:rFonts w:ascii="Copperplate32bc" w:hAnsi="Copperplate32bc"/>
                        <w:smallCaps/>
                        <w:sz w:val="17"/>
                        <w:szCs w:val="17"/>
                      </w:rPr>
                    </w:pPr>
                    <w:r>
                      <w:rPr>
                        <w:rFonts w:ascii="Copperplate32bc" w:hAnsi="Copperplate32bc"/>
                        <w:smallCaps/>
                        <w:sz w:val="17"/>
                        <w:szCs w:val="17"/>
                      </w:rPr>
                      <w:t>Partsch &amp; Partner Rechtsanwälte</w:t>
                    </w:r>
                  </w:p>
                  <w:p w14:paraId="1A340079" w14:textId="77777777" w:rsidR="00DC07B4" w:rsidRPr="00C203E2" w:rsidRDefault="000B7E1F" w:rsidP="00056DDC">
                    <w:pPr>
                      <w:spacing w:after="0" w:line="240" w:lineRule="auto"/>
                      <w:rPr>
                        <w:rFonts w:ascii="Copperplate32bc" w:hAnsi="Copperplate32bc"/>
                        <w:smallCaps/>
                        <w:sz w:val="17"/>
                        <w:szCs w:val="17"/>
                      </w:rPr>
                    </w:pPr>
                    <w:r w:rsidRPr="00C203E2">
                      <w:rPr>
                        <w:rFonts w:ascii="Copperplate32bc" w:hAnsi="Copperplate32bc"/>
                        <w:smallCaps/>
                        <w:sz w:val="17"/>
                        <w:szCs w:val="17"/>
                      </w:rPr>
                      <w:t>Kurfürstendamm</w:t>
                    </w:r>
                    <w:r w:rsidR="00D50770" w:rsidRPr="00C203E2">
                      <w:rPr>
                        <w:rFonts w:ascii="Copperplate32bc" w:hAnsi="Copperplate32bc"/>
                        <w:smallCaps/>
                        <w:sz w:val="17"/>
                        <w:szCs w:val="17"/>
                      </w:rPr>
                      <w:t xml:space="preserve"> </w:t>
                    </w:r>
                    <w:r w:rsidR="00056DDC">
                      <w:rPr>
                        <w:rFonts w:ascii="Copperplate32bc" w:hAnsi="Copperplate32bc"/>
                        <w:smallCaps/>
                        <w:sz w:val="17"/>
                        <w:szCs w:val="17"/>
                      </w:rPr>
                      <w:t>50</w:t>
                    </w:r>
                    <w:r w:rsidR="00F06297" w:rsidRPr="00C203E2">
                      <w:rPr>
                        <w:rFonts w:ascii="Copperplate32bc" w:hAnsi="Copperplate32bc"/>
                        <w:smallCaps/>
                        <w:sz w:val="17"/>
                        <w:szCs w:val="17"/>
                      </w:rPr>
                      <w:t xml:space="preserve"> </w:t>
                    </w:r>
                    <w:r w:rsidR="00E82D4A" w:rsidRPr="00C203E2">
                      <w:rPr>
                        <w:rFonts w:ascii="Copperplate32bc" w:hAnsi="Copperplate32bc"/>
                        <w:smallCaps/>
                        <w:sz w:val="17"/>
                        <w:szCs w:val="17"/>
                      </w:rPr>
                      <w:t>∙</w:t>
                    </w:r>
                    <w:r w:rsidR="00F06297" w:rsidRPr="00C203E2">
                      <w:rPr>
                        <w:rFonts w:ascii="Copperplate32bc" w:hAnsi="Copperplate32bc"/>
                        <w:smallCaps/>
                        <w:sz w:val="17"/>
                        <w:szCs w:val="17"/>
                      </w:rPr>
                      <w:t xml:space="preserve"> 10707 </w:t>
                    </w:r>
                    <w:r w:rsidRPr="00C203E2">
                      <w:rPr>
                        <w:rFonts w:ascii="Copperplate32bc" w:hAnsi="Copperplate32bc"/>
                        <w:smallCaps/>
                        <w:sz w:val="17"/>
                        <w:szCs w:val="17"/>
                      </w:rPr>
                      <w:t>Berlin</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77F71A4B" wp14:editId="11AA12D2">
              <wp:simplePos x="0" y="0"/>
              <wp:positionH relativeFrom="column">
                <wp:posOffset>556895</wp:posOffset>
              </wp:positionH>
              <wp:positionV relativeFrom="paragraph">
                <wp:posOffset>45720</wp:posOffset>
              </wp:positionV>
              <wp:extent cx="4575175" cy="603250"/>
              <wp:effectExtent l="4445" t="0" r="1905" b="0"/>
              <wp:wrapNone/>
              <wp:docPr id="763382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5175" cy="60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57A03C" w14:textId="77777777" w:rsidR="00F07A02" w:rsidRDefault="00C4629C" w:rsidP="00F07A02">
                          <w:pPr>
                            <w:spacing w:after="0" w:line="240" w:lineRule="auto"/>
                            <w:jc w:val="center"/>
                            <w:rPr>
                              <w:rFonts w:ascii="Copperplate32bc" w:hAnsi="Copperplate32bc"/>
                              <w:smallCaps/>
                              <w:sz w:val="36"/>
                              <w:szCs w:val="36"/>
                            </w:rPr>
                          </w:pPr>
                          <w:r w:rsidRPr="003610F9">
                            <w:rPr>
                              <w:rFonts w:ascii="Copperplate32bc" w:hAnsi="Copperplate32bc"/>
                              <w:smallCaps/>
                              <w:sz w:val="36"/>
                              <w:szCs w:val="36"/>
                            </w:rPr>
                            <w:t>P</w:t>
                          </w:r>
                          <w:r w:rsidR="00D50770" w:rsidRPr="003610F9">
                            <w:rPr>
                              <w:rFonts w:ascii="Copperplate32bc" w:hAnsi="Copperplate32bc"/>
                              <w:smallCaps/>
                              <w:sz w:val="36"/>
                              <w:szCs w:val="36"/>
                            </w:rPr>
                            <w:t>artsch</w:t>
                          </w:r>
                          <w:r w:rsidR="00554AE0" w:rsidRPr="003610F9">
                            <w:rPr>
                              <w:rFonts w:ascii="Copperplate32bc" w:hAnsi="Copperplate32bc"/>
                              <w:smallCaps/>
                              <w:sz w:val="36"/>
                              <w:szCs w:val="36"/>
                            </w:rPr>
                            <w:t xml:space="preserve"> &amp; P</w:t>
                          </w:r>
                          <w:r w:rsidR="00D50770" w:rsidRPr="003610F9">
                            <w:rPr>
                              <w:rFonts w:ascii="Copperplate32bc" w:hAnsi="Copperplate32bc"/>
                              <w:smallCaps/>
                              <w:sz w:val="36"/>
                              <w:szCs w:val="36"/>
                            </w:rPr>
                            <w:t>artner</w:t>
                          </w:r>
                          <w:r w:rsidR="00554AE0" w:rsidRPr="003610F9">
                            <w:rPr>
                              <w:rFonts w:ascii="Copperplate32bc" w:hAnsi="Copperplate32bc"/>
                              <w:smallCaps/>
                              <w:sz w:val="36"/>
                              <w:szCs w:val="36"/>
                            </w:rPr>
                            <w:t xml:space="preserve"> R</w:t>
                          </w:r>
                          <w:r w:rsidR="00D50770" w:rsidRPr="003610F9">
                            <w:rPr>
                              <w:rFonts w:ascii="Copperplate32bc" w:hAnsi="Copperplate32bc"/>
                              <w:smallCaps/>
                              <w:sz w:val="36"/>
                              <w:szCs w:val="36"/>
                            </w:rPr>
                            <w:t>echtsanwälte</w:t>
                          </w:r>
                        </w:p>
                        <w:p w14:paraId="30AAD76B" w14:textId="77777777" w:rsidR="00155678" w:rsidRPr="00155678" w:rsidRDefault="00155678" w:rsidP="00F07A02">
                          <w:pPr>
                            <w:spacing w:after="0" w:line="240" w:lineRule="auto"/>
                            <w:jc w:val="center"/>
                            <w:rPr>
                              <w:rFonts w:ascii="Copperplate32bc" w:hAnsi="Copperplate32bc"/>
                              <w:smallCaps/>
                              <w:sz w:val="24"/>
                              <w:szCs w:val="24"/>
                            </w:rPr>
                          </w:pPr>
                          <w:r w:rsidRPr="00155678">
                            <w:rPr>
                              <w:rFonts w:ascii="Copperplate32bc" w:hAnsi="Copperplate32bc"/>
                              <w:smallCaps/>
                              <w:sz w:val="24"/>
                              <w:szCs w:val="24"/>
                            </w:rPr>
                            <w:t>PartG</w:t>
                          </w:r>
                          <w:r w:rsidR="008E4F97">
                            <w:rPr>
                              <w:rFonts w:ascii="Copperplate32bc" w:hAnsi="Copperplate32bc"/>
                              <w:smallCaps/>
                              <w:sz w:val="24"/>
                              <w:szCs w:val="24"/>
                            </w:rPr>
                            <w:t xml:space="preserve"> mbB</w:t>
                          </w:r>
                        </w:p>
                        <w:p w14:paraId="2516F180" w14:textId="77777777" w:rsidR="000E0660" w:rsidRPr="00921E51" w:rsidRDefault="000E0660" w:rsidP="00F07A02">
                          <w:pPr>
                            <w:spacing w:after="0" w:line="240" w:lineRule="auto"/>
                            <w:jc w:val="center"/>
                            <w:rPr>
                              <w:rFonts w:ascii="Copperplate32bc" w:hAnsi="Copperplate32bc"/>
                              <w:smallCaps/>
                              <w:sz w:val="6"/>
                              <w:szCs w:val="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77F71A4B" id="Text Box 3" o:spid="_x0000_s1029" type="#_x0000_t202" style="position:absolute;left:0;text-align:left;margin-left:43.85pt;margin-top:3.6pt;width:360.25pt;height:47.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" stroked="f">
              <v:textbox style="mso-fit-shape-to-text:t">
                <w:txbxContent>
                  <w:p w14:paraId="0457A03C" w14:textId="77777777" w:rsidR="00F07A02" w:rsidRDefault="00C4629C" w:rsidP="00F07A02">
                    <w:pPr>
                      <w:spacing w:after="0" w:line="240" w:lineRule="auto"/>
                      <w:jc w:val="center"/>
                      <w:rPr>
                        <w:rFonts w:ascii="Copperplate32bc" w:hAnsi="Copperplate32bc"/>
                        <w:smallCaps/>
                        <w:sz w:val="36"/>
                        <w:szCs w:val="36"/>
                      </w:rPr>
                    </w:pPr>
                    <w:r w:rsidRPr="003610F9">
                      <w:rPr>
                        <w:rFonts w:ascii="Copperplate32bc" w:hAnsi="Copperplate32bc"/>
                        <w:smallCaps/>
                        <w:sz w:val="36"/>
                        <w:szCs w:val="36"/>
                      </w:rPr>
                      <w:t>P</w:t>
                    </w:r>
                    <w:r w:rsidR="00D50770" w:rsidRPr="003610F9">
                      <w:rPr>
                        <w:rFonts w:ascii="Copperplate32bc" w:hAnsi="Copperplate32bc"/>
                        <w:smallCaps/>
                        <w:sz w:val="36"/>
                        <w:szCs w:val="36"/>
                      </w:rPr>
                      <w:t>artsch</w:t>
                    </w:r>
                    <w:r w:rsidR="00554AE0" w:rsidRPr="003610F9">
                      <w:rPr>
                        <w:rFonts w:ascii="Copperplate32bc" w:hAnsi="Copperplate32bc"/>
                        <w:smallCaps/>
                        <w:sz w:val="36"/>
                        <w:szCs w:val="36"/>
                      </w:rPr>
                      <w:t xml:space="preserve"> &amp; P</w:t>
                    </w:r>
                    <w:r w:rsidR="00D50770" w:rsidRPr="003610F9">
                      <w:rPr>
                        <w:rFonts w:ascii="Copperplate32bc" w:hAnsi="Copperplate32bc"/>
                        <w:smallCaps/>
                        <w:sz w:val="36"/>
                        <w:szCs w:val="36"/>
                      </w:rPr>
                      <w:t>artner</w:t>
                    </w:r>
                    <w:r w:rsidR="00554AE0" w:rsidRPr="003610F9">
                      <w:rPr>
                        <w:rFonts w:ascii="Copperplate32bc" w:hAnsi="Copperplate32bc"/>
                        <w:smallCaps/>
                        <w:sz w:val="36"/>
                        <w:szCs w:val="36"/>
                      </w:rPr>
                      <w:t xml:space="preserve"> R</w:t>
                    </w:r>
                    <w:r w:rsidR="00D50770" w:rsidRPr="003610F9">
                      <w:rPr>
                        <w:rFonts w:ascii="Copperplate32bc" w:hAnsi="Copperplate32bc"/>
                        <w:smallCaps/>
                        <w:sz w:val="36"/>
                        <w:szCs w:val="36"/>
                      </w:rPr>
                      <w:t>echtsanwälte</w:t>
                    </w:r>
                  </w:p>
                  <w:p w14:paraId="30AAD76B" w14:textId="77777777" w:rsidR="00155678" w:rsidRPr="00155678" w:rsidRDefault="00155678" w:rsidP="00F07A02">
                    <w:pPr>
                      <w:spacing w:after="0" w:line="240" w:lineRule="auto"/>
                      <w:jc w:val="center"/>
                      <w:rPr>
                        <w:rFonts w:ascii="Copperplate32bc" w:hAnsi="Copperplate32bc"/>
                        <w:smallCaps/>
                        <w:sz w:val="24"/>
                        <w:szCs w:val="24"/>
                      </w:rPr>
                    </w:pPr>
                    <w:r w:rsidRPr="00155678">
                      <w:rPr>
                        <w:rFonts w:ascii="Copperplate32bc" w:hAnsi="Copperplate32bc"/>
                        <w:smallCaps/>
                        <w:sz w:val="24"/>
                        <w:szCs w:val="24"/>
                      </w:rPr>
                      <w:t>PartG</w:t>
                    </w:r>
                    <w:r w:rsidR="008E4F97">
                      <w:rPr>
                        <w:rFonts w:ascii="Copperplate32bc" w:hAnsi="Copperplate32bc"/>
                        <w:smallCaps/>
                        <w:sz w:val="24"/>
                        <w:szCs w:val="24"/>
                      </w:rPr>
                      <w:t xml:space="preserve"> mbB</w:t>
                    </w:r>
                  </w:p>
                  <w:p w14:paraId="2516F180" w14:textId="77777777" w:rsidR="000E0660" w:rsidRPr="00921E51" w:rsidRDefault="000E0660" w:rsidP="00F07A02">
                    <w:pPr>
                      <w:spacing w:after="0" w:line="240" w:lineRule="auto"/>
                      <w:jc w:val="center"/>
                      <w:rPr>
                        <w:rFonts w:ascii="Copperplate32bc" w:hAnsi="Copperplate32bc"/>
                        <w:smallCaps/>
                        <w:sz w:val="6"/>
                        <w:szCs w:val="6"/>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711FC"/>
    <w:multiLevelType w:val="hybridMultilevel"/>
    <w:tmpl w:val="FFFFFFFF"/>
    <w:lvl w:ilvl="0" w:tplc="24F2E05E">
      <w:start w:val="1"/>
      <w:numFmt w:val="lowerLetter"/>
      <w:pStyle w:val="berschrift5"/>
      <w:lvlText w:val="(%1a)"/>
      <w:lvlJc w:val="left"/>
      <w:pPr>
        <w:ind w:left="1117" w:hanging="360"/>
      </w:pPr>
      <w:rPr>
        <w:rFonts w:cs="Times New Roman" w:hint="default"/>
      </w:rPr>
    </w:lvl>
    <w:lvl w:ilvl="1" w:tplc="04070019" w:tentative="1">
      <w:start w:val="1"/>
      <w:numFmt w:val="lowerLetter"/>
      <w:lvlText w:val="%2."/>
      <w:lvlJc w:val="left"/>
      <w:pPr>
        <w:ind w:left="1837" w:hanging="360"/>
      </w:pPr>
      <w:rPr>
        <w:rFonts w:cs="Times New Roman"/>
      </w:rPr>
    </w:lvl>
    <w:lvl w:ilvl="2" w:tplc="0407001B" w:tentative="1">
      <w:start w:val="1"/>
      <w:numFmt w:val="lowerRoman"/>
      <w:lvlText w:val="%3."/>
      <w:lvlJc w:val="right"/>
      <w:pPr>
        <w:ind w:left="2557" w:hanging="180"/>
      </w:pPr>
      <w:rPr>
        <w:rFonts w:cs="Times New Roman"/>
      </w:rPr>
    </w:lvl>
    <w:lvl w:ilvl="3" w:tplc="0407000F" w:tentative="1">
      <w:start w:val="1"/>
      <w:numFmt w:val="decimal"/>
      <w:lvlText w:val="%4."/>
      <w:lvlJc w:val="left"/>
      <w:pPr>
        <w:ind w:left="3277" w:hanging="360"/>
      </w:pPr>
      <w:rPr>
        <w:rFonts w:cs="Times New Roman"/>
      </w:rPr>
    </w:lvl>
    <w:lvl w:ilvl="4" w:tplc="04070019" w:tentative="1">
      <w:start w:val="1"/>
      <w:numFmt w:val="lowerLetter"/>
      <w:lvlText w:val="%5."/>
      <w:lvlJc w:val="left"/>
      <w:pPr>
        <w:ind w:left="3997" w:hanging="360"/>
      </w:pPr>
      <w:rPr>
        <w:rFonts w:cs="Times New Roman"/>
      </w:rPr>
    </w:lvl>
    <w:lvl w:ilvl="5" w:tplc="0407001B" w:tentative="1">
      <w:start w:val="1"/>
      <w:numFmt w:val="lowerRoman"/>
      <w:lvlText w:val="%6."/>
      <w:lvlJc w:val="right"/>
      <w:pPr>
        <w:ind w:left="4717" w:hanging="180"/>
      </w:pPr>
      <w:rPr>
        <w:rFonts w:cs="Times New Roman"/>
      </w:rPr>
    </w:lvl>
    <w:lvl w:ilvl="6" w:tplc="0407000F" w:tentative="1">
      <w:start w:val="1"/>
      <w:numFmt w:val="decimal"/>
      <w:lvlText w:val="%7."/>
      <w:lvlJc w:val="left"/>
      <w:pPr>
        <w:ind w:left="5437" w:hanging="360"/>
      </w:pPr>
      <w:rPr>
        <w:rFonts w:cs="Times New Roman"/>
      </w:rPr>
    </w:lvl>
    <w:lvl w:ilvl="7" w:tplc="04070019" w:tentative="1">
      <w:start w:val="1"/>
      <w:numFmt w:val="lowerLetter"/>
      <w:lvlText w:val="%8."/>
      <w:lvlJc w:val="left"/>
      <w:pPr>
        <w:ind w:left="6157" w:hanging="360"/>
      </w:pPr>
      <w:rPr>
        <w:rFonts w:cs="Times New Roman"/>
      </w:rPr>
    </w:lvl>
    <w:lvl w:ilvl="8" w:tplc="0407001B" w:tentative="1">
      <w:start w:val="1"/>
      <w:numFmt w:val="lowerRoman"/>
      <w:lvlText w:val="%9."/>
      <w:lvlJc w:val="right"/>
      <w:pPr>
        <w:ind w:left="6877" w:hanging="180"/>
      </w:pPr>
      <w:rPr>
        <w:rFonts w:cs="Times New Roman"/>
      </w:rPr>
    </w:lvl>
  </w:abstractNum>
  <w:abstractNum w:abstractNumId="1" w15:restartNumberingAfterBreak="0">
    <w:nsid w:val="127018F9"/>
    <w:multiLevelType w:val="hybridMultilevel"/>
    <w:tmpl w:val="51383CF6"/>
    <w:lvl w:ilvl="0" w:tplc="3710F3A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9246A5"/>
    <w:multiLevelType w:val="hybridMultilevel"/>
    <w:tmpl w:val="FFFFFFFF"/>
    <w:lvl w:ilvl="0" w:tplc="8EA2462A">
      <w:start w:val="1"/>
      <w:numFmt w:val="upperRoman"/>
      <w:pStyle w:val="berschrift3"/>
      <w:lvlText w:val="%1."/>
      <w:lvlJc w:val="right"/>
      <w:pPr>
        <w:ind w:left="1080" w:hanging="360"/>
      </w:pPr>
      <w:rPr>
        <w:rFonts w:cs="Times New Roman"/>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3" w15:restartNumberingAfterBreak="0">
    <w:nsid w:val="1A130B09"/>
    <w:multiLevelType w:val="hybridMultilevel"/>
    <w:tmpl w:val="FFFFFFFF"/>
    <w:lvl w:ilvl="0" w:tplc="FF44977A">
      <w:start w:val="1"/>
      <w:numFmt w:val="lowerRoman"/>
      <w:pStyle w:val="Formatvorlage1"/>
      <w:lvlText w:val="(%1.)"/>
      <w:lvlJc w:val="left"/>
      <w:pPr>
        <w:ind w:left="717"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 w15:restartNumberingAfterBreak="0">
    <w:nsid w:val="1F3D0CFB"/>
    <w:multiLevelType w:val="hybridMultilevel"/>
    <w:tmpl w:val="FFFFFFFF"/>
    <w:lvl w:ilvl="0" w:tplc="18B2BA04">
      <w:start w:val="1"/>
      <w:numFmt w:val="decimal"/>
      <w:pStyle w:val="berschrift7"/>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15:restartNumberingAfterBreak="0">
    <w:nsid w:val="1F5A7F7A"/>
    <w:multiLevelType w:val="hybridMultilevel"/>
    <w:tmpl w:val="FFFFFFFF"/>
    <w:lvl w:ilvl="0" w:tplc="6F00BE62">
      <w:start w:val="1"/>
      <w:numFmt w:val="lowerLetter"/>
      <w:pStyle w:val="berschrift8"/>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6" w15:restartNumberingAfterBreak="0">
    <w:nsid w:val="41150B25"/>
    <w:multiLevelType w:val="hybridMultilevel"/>
    <w:tmpl w:val="FFFFFFFF"/>
    <w:lvl w:ilvl="0" w:tplc="386E53F6">
      <w:start w:val="1"/>
      <w:numFmt w:val="lowerLetter"/>
      <w:pStyle w:val="Untertite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7" w15:restartNumberingAfterBreak="0">
    <w:nsid w:val="41AE7694"/>
    <w:multiLevelType w:val="hybridMultilevel"/>
    <w:tmpl w:val="CE28506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55C10A6E"/>
    <w:multiLevelType w:val="hybridMultilevel"/>
    <w:tmpl w:val="590A2BA6"/>
    <w:lvl w:ilvl="0" w:tplc="97725FC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CFD1EF2"/>
    <w:multiLevelType w:val="hybridMultilevel"/>
    <w:tmpl w:val="FFFFFFFF"/>
    <w:lvl w:ilvl="0" w:tplc="22C4FA74">
      <w:start w:val="1"/>
      <w:numFmt w:val="lowerRoman"/>
      <w:pStyle w:val="berschrift9"/>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60212D89"/>
    <w:multiLevelType w:val="hybridMultilevel"/>
    <w:tmpl w:val="FFFFFFFF"/>
    <w:lvl w:ilvl="0" w:tplc="EE1C2918">
      <w:start w:val="1"/>
      <w:numFmt w:val="decimal"/>
      <w:pStyle w:val="berschrift4"/>
      <w:lvlText w:val="%1."/>
      <w:lvlJc w:val="left"/>
      <w:pPr>
        <w:ind w:left="717"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1" w15:restartNumberingAfterBreak="0">
    <w:nsid w:val="62482B22"/>
    <w:multiLevelType w:val="hybridMultilevel"/>
    <w:tmpl w:val="536A8C8E"/>
    <w:lvl w:ilvl="0" w:tplc="45C4F3F2">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15:restartNumberingAfterBreak="0">
    <w:nsid w:val="63D22AD1"/>
    <w:multiLevelType w:val="hybridMultilevel"/>
    <w:tmpl w:val="FFFFFFFF"/>
    <w:lvl w:ilvl="0" w:tplc="CF3A6E84">
      <w:start w:val="38"/>
      <w:numFmt w:val="bullet"/>
      <w:lvlText w:val="-"/>
      <w:lvlJc w:val="left"/>
      <w:pPr>
        <w:ind w:left="720" w:hanging="360"/>
      </w:pPr>
      <w:rPr>
        <w:rFonts w:ascii="Century Gothic" w:eastAsia="Times New Roman" w:hAnsi="Century Gothic"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48E62AE"/>
    <w:multiLevelType w:val="hybridMultilevel"/>
    <w:tmpl w:val="8736B0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75738D1"/>
    <w:multiLevelType w:val="hybridMultilevel"/>
    <w:tmpl w:val="FFFFFFFF"/>
    <w:lvl w:ilvl="0" w:tplc="0570D688">
      <w:start w:val="1"/>
      <w:numFmt w:val="lowerLetter"/>
      <w:pStyle w:val="berschrift6"/>
      <w:lvlText w:val="%1)"/>
      <w:lvlJc w:val="left"/>
      <w:pPr>
        <w:ind w:left="1074" w:hanging="360"/>
      </w:pPr>
      <w:rPr>
        <w:rFonts w:cs="Times New Roman"/>
      </w:rPr>
    </w:lvl>
    <w:lvl w:ilvl="1" w:tplc="04070019" w:tentative="1">
      <w:start w:val="1"/>
      <w:numFmt w:val="lowerLetter"/>
      <w:lvlText w:val="%2."/>
      <w:lvlJc w:val="left"/>
      <w:pPr>
        <w:ind w:left="1797" w:hanging="360"/>
      </w:pPr>
      <w:rPr>
        <w:rFonts w:cs="Times New Roman"/>
      </w:rPr>
    </w:lvl>
    <w:lvl w:ilvl="2" w:tplc="0407001B" w:tentative="1">
      <w:start w:val="1"/>
      <w:numFmt w:val="lowerRoman"/>
      <w:lvlText w:val="%3."/>
      <w:lvlJc w:val="right"/>
      <w:pPr>
        <w:ind w:left="2517" w:hanging="180"/>
      </w:pPr>
      <w:rPr>
        <w:rFonts w:cs="Times New Roman"/>
      </w:rPr>
    </w:lvl>
    <w:lvl w:ilvl="3" w:tplc="0407000F" w:tentative="1">
      <w:start w:val="1"/>
      <w:numFmt w:val="decimal"/>
      <w:lvlText w:val="%4."/>
      <w:lvlJc w:val="left"/>
      <w:pPr>
        <w:ind w:left="3237" w:hanging="360"/>
      </w:pPr>
      <w:rPr>
        <w:rFonts w:cs="Times New Roman"/>
      </w:rPr>
    </w:lvl>
    <w:lvl w:ilvl="4" w:tplc="04070019" w:tentative="1">
      <w:start w:val="1"/>
      <w:numFmt w:val="lowerLetter"/>
      <w:lvlText w:val="%5."/>
      <w:lvlJc w:val="left"/>
      <w:pPr>
        <w:ind w:left="3957" w:hanging="360"/>
      </w:pPr>
      <w:rPr>
        <w:rFonts w:cs="Times New Roman"/>
      </w:rPr>
    </w:lvl>
    <w:lvl w:ilvl="5" w:tplc="0407001B" w:tentative="1">
      <w:start w:val="1"/>
      <w:numFmt w:val="lowerRoman"/>
      <w:lvlText w:val="%6."/>
      <w:lvlJc w:val="right"/>
      <w:pPr>
        <w:ind w:left="4677" w:hanging="180"/>
      </w:pPr>
      <w:rPr>
        <w:rFonts w:cs="Times New Roman"/>
      </w:rPr>
    </w:lvl>
    <w:lvl w:ilvl="6" w:tplc="0407000F" w:tentative="1">
      <w:start w:val="1"/>
      <w:numFmt w:val="decimal"/>
      <w:lvlText w:val="%7."/>
      <w:lvlJc w:val="left"/>
      <w:pPr>
        <w:ind w:left="5397" w:hanging="360"/>
      </w:pPr>
      <w:rPr>
        <w:rFonts w:cs="Times New Roman"/>
      </w:rPr>
    </w:lvl>
    <w:lvl w:ilvl="7" w:tplc="04070019" w:tentative="1">
      <w:start w:val="1"/>
      <w:numFmt w:val="lowerLetter"/>
      <w:lvlText w:val="%8."/>
      <w:lvlJc w:val="left"/>
      <w:pPr>
        <w:ind w:left="6117" w:hanging="360"/>
      </w:pPr>
      <w:rPr>
        <w:rFonts w:cs="Times New Roman"/>
      </w:rPr>
    </w:lvl>
    <w:lvl w:ilvl="8" w:tplc="0407001B" w:tentative="1">
      <w:start w:val="1"/>
      <w:numFmt w:val="lowerRoman"/>
      <w:lvlText w:val="%9."/>
      <w:lvlJc w:val="right"/>
      <w:pPr>
        <w:ind w:left="6837" w:hanging="180"/>
      </w:pPr>
      <w:rPr>
        <w:rFonts w:cs="Times New Roman"/>
      </w:rPr>
    </w:lvl>
  </w:abstractNum>
  <w:abstractNum w:abstractNumId="15" w15:restartNumberingAfterBreak="0">
    <w:nsid w:val="6CB2386D"/>
    <w:multiLevelType w:val="hybridMultilevel"/>
    <w:tmpl w:val="FFFFFFFF"/>
    <w:lvl w:ilvl="0" w:tplc="8F7E64F8">
      <w:start w:val="1"/>
      <w:numFmt w:val="lowerLetter"/>
      <w:pStyle w:val="Titel"/>
      <w:lvlText w:val="(%1a)"/>
      <w:lvlJc w:val="left"/>
      <w:pPr>
        <w:ind w:left="1097" w:hanging="360"/>
      </w:pPr>
      <w:rPr>
        <w:rFonts w:cs="Times New Roman" w:hint="default"/>
      </w:rPr>
    </w:lvl>
    <w:lvl w:ilvl="1" w:tplc="04070019" w:tentative="1">
      <w:start w:val="1"/>
      <w:numFmt w:val="lowerLetter"/>
      <w:lvlText w:val="%2."/>
      <w:lvlJc w:val="left"/>
      <w:pPr>
        <w:ind w:left="2160" w:hanging="360"/>
      </w:pPr>
      <w:rPr>
        <w:rFonts w:cs="Times New Roman"/>
      </w:rPr>
    </w:lvl>
    <w:lvl w:ilvl="2" w:tplc="0407001B" w:tentative="1">
      <w:start w:val="1"/>
      <w:numFmt w:val="lowerRoman"/>
      <w:lvlText w:val="%3."/>
      <w:lvlJc w:val="right"/>
      <w:pPr>
        <w:ind w:left="2880" w:hanging="180"/>
      </w:pPr>
      <w:rPr>
        <w:rFonts w:cs="Times New Roman"/>
      </w:rPr>
    </w:lvl>
    <w:lvl w:ilvl="3" w:tplc="0407000F" w:tentative="1">
      <w:start w:val="1"/>
      <w:numFmt w:val="decimal"/>
      <w:lvlText w:val="%4."/>
      <w:lvlJc w:val="left"/>
      <w:pPr>
        <w:ind w:left="3600" w:hanging="360"/>
      </w:pPr>
      <w:rPr>
        <w:rFonts w:cs="Times New Roman"/>
      </w:rPr>
    </w:lvl>
    <w:lvl w:ilvl="4" w:tplc="04070019" w:tentative="1">
      <w:start w:val="1"/>
      <w:numFmt w:val="lowerLetter"/>
      <w:lvlText w:val="%5."/>
      <w:lvlJc w:val="left"/>
      <w:pPr>
        <w:ind w:left="4320" w:hanging="360"/>
      </w:pPr>
      <w:rPr>
        <w:rFonts w:cs="Times New Roman"/>
      </w:rPr>
    </w:lvl>
    <w:lvl w:ilvl="5" w:tplc="0407001B" w:tentative="1">
      <w:start w:val="1"/>
      <w:numFmt w:val="lowerRoman"/>
      <w:lvlText w:val="%6."/>
      <w:lvlJc w:val="right"/>
      <w:pPr>
        <w:ind w:left="5040" w:hanging="180"/>
      </w:pPr>
      <w:rPr>
        <w:rFonts w:cs="Times New Roman"/>
      </w:rPr>
    </w:lvl>
    <w:lvl w:ilvl="6" w:tplc="0407000F" w:tentative="1">
      <w:start w:val="1"/>
      <w:numFmt w:val="decimal"/>
      <w:lvlText w:val="%7."/>
      <w:lvlJc w:val="left"/>
      <w:pPr>
        <w:ind w:left="5760" w:hanging="360"/>
      </w:pPr>
      <w:rPr>
        <w:rFonts w:cs="Times New Roman"/>
      </w:rPr>
    </w:lvl>
    <w:lvl w:ilvl="7" w:tplc="04070019" w:tentative="1">
      <w:start w:val="1"/>
      <w:numFmt w:val="lowerLetter"/>
      <w:lvlText w:val="%8."/>
      <w:lvlJc w:val="left"/>
      <w:pPr>
        <w:ind w:left="6480" w:hanging="360"/>
      </w:pPr>
      <w:rPr>
        <w:rFonts w:cs="Times New Roman"/>
      </w:rPr>
    </w:lvl>
    <w:lvl w:ilvl="8" w:tplc="0407001B" w:tentative="1">
      <w:start w:val="1"/>
      <w:numFmt w:val="lowerRoman"/>
      <w:lvlText w:val="%9."/>
      <w:lvlJc w:val="right"/>
      <w:pPr>
        <w:ind w:left="7200" w:hanging="180"/>
      </w:pPr>
      <w:rPr>
        <w:rFonts w:cs="Times New Roman"/>
      </w:rPr>
    </w:lvl>
  </w:abstractNum>
  <w:abstractNum w:abstractNumId="16" w15:restartNumberingAfterBreak="0">
    <w:nsid w:val="6E0D2AEA"/>
    <w:multiLevelType w:val="hybridMultilevel"/>
    <w:tmpl w:val="FFFFFFFF"/>
    <w:lvl w:ilvl="0" w:tplc="54D000D0">
      <w:start w:val="1"/>
      <w:numFmt w:val="decimal"/>
      <w:lvlText w:val="%1."/>
      <w:lvlJc w:val="left"/>
      <w:pPr>
        <w:ind w:left="1080"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abstractNum w:abstractNumId="17" w15:restartNumberingAfterBreak="0">
    <w:nsid w:val="761008DE"/>
    <w:multiLevelType w:val="hybridMultilevel"/>
    <w:tmpl w:val="FFFFFFFF"/>
    <w:lvl w:ilvl="0" w:tplc="CA4EBF1A">
      <w:start w:val="1"/>
      <w:numFmt w:val="upperLetter"/>
      <w:pStyle w:val="berschrift2"/>
      <w:lvlText w:val="%1."/>
      <w:lvlJc w:val="left"/>
      <w:pPr>
        <w:ind w:left="717" w:hanging="360"/>
      </w:pPr>
      <w:rPr>
        <w:rFonts w:cs="Times New Roman" w:hint="default"/>
      </w:rPr>
    </w:lvl>
    <w:lvl w:ilvl="1" w:tplc="04070019" w:tentative="1">
      <w:start w:val="1"/>
      <w:numFmt w:val="lowerLetter"/>
      <w:lvlText w:val="%2."/>
      <w:lvlJc w:val="left"/>
      <w:pPr>
        <w:ind w:left="1800" w:hanging="360"/>
      </w:pPr>
      <w:rPr>
        <w:rFonts w:cs="Times New Roman"/>
      </w:rPr>
    </w:lvl>
    <w:lvl w:ilvl="2" w:tplc="0407001B" w:tentative="1">
      <w:start w:val="1"/>
      <w:numFmt w:val="lowerRoman"/>
      <w:lvlText w:val="%3."/>
      <w:lvlJc w:val="right"/>
      <w:pPr>
        <w:ind w:left="2520" w:hanging="180"/>
      </w:pPr>
      <w:rPr>
        <w:rFonts w:cs="Times New Roman"/>
      </w:rPr>
    </w:lvl>
    <w:lvl w:ilvl="3" w:tplc="0407000F" w:tentative="1">
      <w:start w:val="1"/>
      <w:numFmt w:val="decimal"/>
      <w:lvlText w:val="%4."/>
      <w:lvlJc w:val="left"/>
      <w:pPr>
        <w:ind w:left="3240" w:hanging="360"/>
      </w:pPr>
      <w:rPr>
        <w:rFonts w:cs="Times New Roman"/>
      </w:rPr>
    </w:lvl>
    <w:lvl w:ilvl="4" w:tplc="04070019" w:tentative="1">
      <w:start w:val="1"/>
      <w:numFmt w:val="lowerLetter"/>
      <w:lvlText w:val="%5."/>
      <w:lvlJc w:val="left"/>
      <w:pPr>
        <w:ind w:left="3960" w:hanging="360"/>
      </w:pPr>
      <w:rPr>
        <w:rFonts w:cs="Times New Roman"/>
      </w:rPr>
    </w:lvl>
    <w:lvl w:ilvl="5" w:tplc="0407001B" w:tentative="1">
      <w:start w:val="1"/>
      <w:numFmt w:val="lowerRoman"/>
      <w:lvlText w:val="%6."/>
      <w:lvlJc w:val="right"/>
      <w:pPr>
        <w:ind w:left="4680" w:hanging="180"/>
      </w:pPr>
      <w:rPr>
        <w:rFonts w:cs="Times New Roman"/>
      </w:rPr>
    </w:lvl>
    <w:lvl w:ilvl="6" w:tplc="0407000F" w:tentative="1">
      <w:start w:val="1"/>
      <w:numFmt w:val="decimal"/>
      <w:lvlText w:val="%7."/>
      <w:lvlJc w:val="left"/>
      <w:pPr>
        <w:ind w:left="5400" w:hanging="360"/>
      </w:pPr>
      <w:rPr>
        <w:rFonts w:cs="Times New Roman"/>
      </w:rPr>
    </w:lvl>
    <w:lvl w:ilvl="7" w:tplc="04070019" w:tentative="1">
      <w:start w:val="1"/>
      <w:numFmt w:val="lowerLetter"/>
      <w:lvlText w:val="%8."/>
      <w:lvlJc w:val="left"/>
      <w:pPr>
        <w:ind w:left="6120" w:hanging="360"/>
      </w:pPr>
      <w:rPr>
        <w:rFonts w:cs="Times New Roman"/>
      </w:rPr>
    </w:lvl>
    <w:lvl w:ilvl="8" w:tplc="0407001B" w:tentative="1">
      <w:start w:val="1"/>
      <w:numFmt w:val="lowerRoman"/>
      <w:lvlText w:val="%9."/>
      <w:lvlJc w:val="right"/>
      <w:pPr>
        <w:ind w:left="6840" w:hanging="180"/>
      </w:pPr>
      <w:rPr>
        <w:rFonts w:cs="Times New Roman"/>
      </w:rPr>
    </w:lvl>
  </w:abstractNum>
  <w:num w:numId="1" w16cid:durableId="728110270">
    <w:abstractNumId w:val="12"/>
  </w:num>
  <w:num w:numId="2" w16cid:durableId="2106030819">
    <w:abstractNumId w:val="3"/>
  </w:num>
  <w:num w:numId="3" w16cid:durableId="532158018">
    <w:abstractNumId w:val="15"/>
  </w:num>
  <w:num w:numId="4" w16cid:durableId="342363743">
    <w:abstractNumId w:val="17"/>
  </w:num>
  <w:num w:numId="5" w16cid:durableId="2003390474">
    <w:abstractNumId w:val="2"/>
  </w:num>
  <w:num w:numId="6" w16cid:durableId="1501968003">
    <w:abstractNumId w:val="10"/>
  </w:num>
  <w:num w:numId="7" w16cid:durableId="154030243">
    <w:abstractNumId w:val="0"/>
  </w:num>
  <w:num w:numId="8" w16cid:durableId="1417633998">
    <w:abstractNumId w:val="14"/>
  </w:num>
  <w:num w:numId="9" w16cid:durableId="421608789">
    <w:abstractNumId w:val="4"/>
  </w:num>
  <w:num w:numId="10" w16cid:durableId="672487891">
    <w:abstractNumId w:val="5"/>
  </w:num>
  <w:num w:numId="11" w16cid:durableId="1173640201">
    <w:abstractNumId w:val="9"/>
  </w:num>
  <w:num w:numId="12" w16cid:durableId="569270752">
    <w:abstractNumId w:val="6"/>
  </w:num>
  <w:num w:numId="13" w16cid:durableId="996809772">
    <w:abstractNumId w:val="16"/>
  </w:num>
  <w:num w:numId="14" w16cid:durableId="1064446862">
    <w:abstractNumId w:val="7"/>
  </w:num>
  <w:num w:numId="15" w16cid:durableId="1491291151">
    <w:abstractNumId w:val="1"/>
  </w:num>
  <w:num w:numId="16" w16cid:durableId="1027875362">
    <w:abstractNumId w:val="2"/>
    <w:lvlOverride w:ilvl="0">
      <w:startOverride w:val="1"/>
    </w:lvlOverride>
  </w:num>
  <w:num w:numId="17" w16cid:durableId="1268082999">
    <w:abstractNumId w:val="13"/>
  </w:num>
  <w:num w:numId="18" w16cid:durableId="1792939988">
    <w:abstractNumId w:val="8"/>
  </w:num>
  <w:num w:numId="19" w16cid:durableId="2129228603">
    <w:abstractNumId w:val="14"/>
    <w:lvlOverride w:ilvl="0">
      <w:startOverride w:val="1"/>
    </w:lvlOverride>
  </w:num>
  <w:num w:numId="20" w16cid:durableId="63308088">
    <w:abstractNumId w:val="2"/>
    <w:lvlOverride w:ilvl="0">
      <w:startOverride w:val="1"/>
    </w:lvlOverride>
  </w:num>
  <w:num w:numId="21" w16cid:durableId="2099787810">
    <w:abstractNumId w:val="11"/>
  </w:num>
  <w:num w:numId="22" w16cid:durableId="2057847349">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dresseGEK" w:val="Bundesverfassungsgericht"/>
    <w:docVar w:name="AdresseNKV" w:val="Bundesverfassungsgericht"/>
    <w:docVar w:name="Adressnummer" w:val="98948"/>
    <w:docVar w:name="Aktennummer" w:val="123/26-1"/>
    <w:docVar w:name="AnlageArten" w:val="XxXXXXXXXXXXXXXXXXXXXXXXXXXXXXX"/>
    <w:docVar w:name="AnlageDateien" w:val="*L:\Weber\Auszüge aus Gerichtsakte (Schriftsätze etc)\2020-11-19 - Klageschrift inkl. Anlagen.pdf**L:\Weber\Auszüge aus Gerichtsakte (Schriftsätze etc)\2021-03-15 - Klageerwiderung.pdf*L:\Weber\Auszüge aus Gerichtsakte (Schriftsätze etc)\2021-03-23 - Klägerschriftsatz inkl. Anlagen.pdf*L:\Weber\Auszüge aus Gerichtsakte (Schriftsätze etc)\2021-03-24 - Schriftsatz Beklagte inkl. Bescheid vom 19.3.2021.pdf*L:\Weber\Auszüge aus Gerichtsakte (Schriftsätze etc)\2021-06-09 - Schriftsatz Beklagte inkl. Bescheide.pdf*L:\Weber\Auszüge aus Gerichtsakte (Schriftsätze etc)\2021-10-18 - Schriftsatz Klägerin inkl. Anlagen.pdf*L:\Weber\Auszüge aus Gerichtsakte (Schriftsätze etc)\2021-11-17 - Schriftsatz Beklagte inkl. Anlagen.pdf*L:\Weber\Auszüge aus Gerichtsakte (Schriftsätze etc)\2022-12-02 - Schriftsatz Klägerin (Teilerledigung, neue Antragsfassung).pdf*L:\Weber\Auszüge aus Gerichtsakte (Schriftsätze etc)\2023-01-18 - BVerwG Mitteilung neues Az..pdf*L:\Weber\Auszüge aus Gerichtsakte (Schriftsätze etc)\2023-04-28 - BVerwG Beschluss über Aktenvorlage nach § 99 VwGO.pdf*L:\Weber\Auszüge aus Gerichtsakte (Schriftsätze etc)\2023-07-03 - Sperrerklärung der Beklagten inkl. Anlagen.pdf*L:\Weber\Auszüge aus Gerichtsakte (Schriftsätze etc)\2023-07-27 - Schriftsatz Klägerin - Antrag in-camera-Verfahren.pdf*L:\Weber\Auszüge aus Gerichtsakte (Schriftsätze etc)\2023-09-07 - BVerwG Abgabe an den Fachsenat.pdf*L:\Weber\Auszüge aus Gerichtsakte (Schriftsätze etc)\2025-02-06 - Beschluss des Fachsenats.pdf*L:\Weber\Auszüge aus Gerichtsakte (Schriftsätze etc)\2025-04-03 - BVerwG Mitteilung neues Az.pdf*L:\Weber\Auszüge aus Gerichtsakte (Schriftsätze etc)\2026-05-04 - BVerwG Hinweis zum Antragsgegenstand, Bitte um Klarstellung.pdf*L:\Weber\Auszüge aus Gerichtsakte (Schriftsätze etc)\2026-05-19 - Schriftsatz Klägerin zu Anträgen.pdf**L:\Weber\Auszüge aus Gerichtsakte (Schriftsätze etc)\2022-07-07 - Hinweis und Verfügung des BVerwG.pdf*L:\Weber\Auszüge aus Gerichtsakte (Schriftsätze etc)\2022-09-26 - Schriftsatz Klägerin (Teilerledigung).pdf*L:\Weber\Auszüge aus Gerichtsakte (Schriftsätze etc)\2022-11-03 - Schriftsatz Beklagte.pdf*L:\Weber\Auszüge aus Gerichtsakte (Schriftsätze etc)\2022-11-17 - BVerwG Hinweis.pdf*265384*271081*271081*270909PDFCOPY*271216*264701*264702*L:\Weber\Auszüge aus Gerichtsakte (Schriftsätze etc)\2026-21-05 - Schiriftsatz Klägerin inkl. Anlagen.pdf"/>
    <w:docVar w:name="AnlageFlag" w:val="0000000000000000000000022222220"/>
    <w:docVar w:name="Anlagenummern" w:val="003030004005006007008009010015016017018019020021022023031011012013014025002026027001028029024"/>
    <w:docVar w:name="AnlageString" w:val="@~@2020-11-19 - Klageschrift inkl. Anlagen@~@@~@2021-03-15 - Klageerwiderung@~@2021-03-23 - Schriftsatz Klägerin inkl. Anlagen@~@2021-03-24 - Schriftsatz Beklagte inkl. Bescheid vom 19.3.2021@~@2021-06-09 - Schriftsatz Beklagte inkl. div. Bescheide@~@2021-10-18 - Schriftsatz Klägerin inkl. Anlagen@~@2021-11-17 - Schriftsatz Beklagte inkl. Anlagen@~@2022-12-02 - Schriftsatz Klägerin (Teilerledigung, neue Antragsfassung)@~@2023-01-18 - BVerwG Mitteilung neues Az.@~@2023-04-28 - BVerwG Beschluss über Aktenvorlage nach § 99 VwGO@~@2023-07-03 - Sperrerklärung der Beklagten inkl. Anlagen@~@2023-07-27 - Schriftsatz Klägerin - Antrag in-camera-Verfahren@~@2023-09-07 - BVerwG Abgabe an den Fachsenat@~@2025-02-06 - Beschluss des Fachsenats@~@2025-04-03 - BVerwG Mitteilung neues Az@~@2026-05-04 - BVerwG Hinweis zum Antragsgegenstand, Bitte um Klarstellung@~@2026-05-19 - Schriftsatz Klägerin zu Anträgen@~@2026-21-05 - Schriftsatz Klägerin inkl. Anlagen@~@2022-07-07 - Hinweis und Verfügung des BVerwG@~@2022-09-26 - Schriftsatz Klägerin (Teilerledigung)@~@2022-11-03 - Schriftsatz Beklagte@~@2022-11-17 - BVerwG Hinweis@~@2026-06-04 - Verhandlungsprotokoll @~@2026-06-04 Urteil - 10 A 2.25@~@2026-06-04 - Urteil 10 A 2.25@~@2026-07-22 - Übersendungsschreiben BVerwG für Urteil vom 4.6.2026@~@Vollmacht Weber BVerfG@~@Gerichtsakte, Stand 2.6.2026@~@Verwaltungsvorgang@~@2026-05-21 - Schriftsatz Klägerin inkl. Anlagen"/>
    <w:docVar w:name="AnmerkungWLL" w:val="Bundesverfassungsgericht#W#JB#W#JB#W#123/26-1#W#Schlossbezirk 3#W#76131 Karlsruhe#W#Weber, Dr. Gabriele ./. BND -1#W#"/>
    <w:docVar w:name="bAnlageNumm" w:val="J"/>
    <w:docVar w:name="bAnlageStrich" w:val="J"/>
    <w:docVar w:name="Bemerkung" w:val="Verfassungsbeschwerde "/>
    <w:docVar w:name="bFett" w:val="N"/>
    <w:docVar w:name="DDNr" w:val="D8/D308-26"/>
    <w:docVar w:name="DDNummerPH" w:val="fehlt"/>
    <w:docVar w:name="dgnword-docGUID" w:val="{F29C4EAA-9855-4FB5-A756-DB554B60C8EE}"/>
    <w:docVar w:name="dgnword-eventsink" w:val="702347136"/>
    <w:docVar w:name="DMSunterordner" w:val="17860"/>
    <w:docVar w:name="EAStatus" w:val="0"/>
    <w:docVar w:name="EmailAdresse" w:val="bverfg@bundesverfassungsgericht.de"/>
    <w:docVar w:name="Empfänger" w:val="BVerfG"/>
    <w:docVar w:name="Faxnummer" w:val="0721 9101-382"/>
    <w:docVar w:name="GKZ" w:val="5 U 42/26"/>
    <w:docVar w:name="RABetreffNB" w:val="#W#Dr. Gabriele Weber ./. Bundesrepublik Deutschland#W#"/>
    <w:docVar w:name="RABKNR" w:val="3"/>
    <w:docVar w:name="RADKS" w:val="#;$a;@I4"/>
    <w:docVar w:name="Rubrik" w:val="solleer"/>
    <w:docVar w:name="SAktenInfo" w:val="0"/>
    <w:docVar w:name="SAktenkurzbez" w:val="Weber, Dr. Gabriele ./. BND -1"/>
    <w:docVar w:name="SBeteilig" w:val="2.Instanz"/>
    <w:docVar w:name="Schlagwort" w:val="solleer"/>
    <w:docVar w:name="SKennzeichen" w:val="I2"/>
  </w:docVars>
  <w:rsids>
    <w:rsidRoot w:val="00CC355E"/>
    <w:rsid w:val="00001828"/>
    <w:rsid w:val="0000462E"/>
    <w:rsid w:val="000067B8"/>
    <w:rsid w:val="000069EC"/>
    <w:rsid w:val="00010E87"/>
    <w:rsid w:val="00020EAA"/>
    <w:rsid w:val="00027454"/>
    <w:rsid w:val="00034B29"/>
    <w:rsid w:val="00034F7F"/>
    <w:rsid w:val="000357AF"/>
    <w:rsid w:val="000478BD"/>
    <w:rsid w:val="00047B1C"/>
    <w:rsid w:val="0005275E"/>
    <w:rsid w:val="0005523C"/>
    <w:rsid w:val="0005674F"/>
    <w:rsid w:val="00056DDC"/>
    <w:rsid w:val="0006329F"/>
    <w:rsid w:val="0007645C"/>
    <w:rsid w:val="0007692E"/>
    <w:rsid w:val="00081FC0"/>
    <w:rsid w:val="0008251C"/>
    <w:rsid w:val="00084342"/>
    <w:rsid w:val="000873F1"/>
    <w:rsid w:val="000969FB"/>
    <w:rsid w:val="000A6A7B"/>
    <w:rsid w:val="000A708E"/>
    <w:rsid w:val="000B34A2"/>
    <w:rsid w:val="000B5BD9"/>
    <w:rsid w:val="000B6E19"/>
    <w:rsid w:val="000B7E1F"/>
    <w:rsid w:val="000C111B"/>
    <w:rsid w:val="000C3ACF"/>
    <w:rsid w:val="000C73D6"/>
    <w:rsid w:val="000C76B7"/>
    <w:rsid w:val="000D0DF9"/>
    <w:rsid w:val="000D44F5"/>
    <w:rsid w:val="000D664F"/>
    <w:rsid w:val="000D77EF"/>
    <w:rsid w:val="000E0660"/>
    <w:rsid w:val="000E2BB1"/>
    <w:rsid w:val="000F2FCB"/>
    <w:rsid w:val="000F3EB7"/>
    <w:rsid w:val="00110E7A"/>
    <w:rsid w:val="001117B2"/>
    <w:rsid w:val="00113090"/>
    <w:rsid w:val="00113801"/>
    <w:rsid w:val="001171A1"/>
    <w:rsid w:val="00126B3A"/>
    <w:rsid w:val="00130563"/>
    <w:rsid w:val="0013185F"/>
    <w:rsid w:val="0013457A"/>
    <w:rsid w:val="00135AEA"/>
    <w:rsid w:val="0013706F"/>
    <w:rsid w:val="00137DDE"/>
    <w:rsid w:val="00141A02"/>
    <w:rsid w:val="00154972"/>
    <w:rsid w:val="00155678"/>
    <w:rsid w:val="00157F79"/>
    <w:rsid w:val="00160D05"/>
    <w:rsid w:val="00164E92"/>
    <w:rsid w:val="001704B8"/>
    <w:rsid w:val="00173608"/>
    <w:rsid w:val="001755E1"/>
    <w:rsid w:val="0018177A"/>
    <w:rsid w:val="00185E61"/>
    <w:rsid w:val="00190FE7"/>
    <w:rsid w:val="00196240"/>
    <w:rsid w:val="00196C5D"/>
    <w:rsid w:val="001A2624"/>
    <w:rsid w:val="001A2A77"/>
    <w:rsid w:val="001A3034"/>
    <w:rsid w:val="001C1A25"/>
    <w:rsid w:val="001F449E"/>
    <w:rsid w:val="002012BF"/>
    <w:rsid w:val="00202F74"/>
    <w:rsid w:val="002110AF"/>
    <w:rsid w:val="00226774"/>
    <w:rsid w:val="00232579"/>
    <w:rsid w:val="00237DAC"/>
    <w:rsid w:val="00242008"/>
    <w:rsid w:val="0027030E"/>
    <w:rsid w:val="00282366"/>
    <w:rsid w:val="002914E7"/>
    <w:rsid w:val="00291943"/>
    <w:rsid w:val="00292AAA"/>
    <w:rsid w:val="00296277"/>
    <w:rsid w:val="002A3FE5"/>
    <w:rsid w:val="002A41E6"/>
    <w:rsid w:val="002A428C"/>
    <w:rsid w:val="002B00A5"/>
    <w:rsid w:val="002B04CE"/>
    <w:rsid w:val="002B0BB9"/>
    <w:rsid w:val="002B5C64"/>
    <w:rsid w:val="002C6E8C"/>
    <w:rsid w:val="002E23CE"/>
    <w:rsid w:val="002E4682"/>
    <w:rsid w:val="002E63E1"/>
    <w:rsid w:val="002F4D21"/>
    <w:rsid w:val="00300AD8"/>
    <w:rsid w:val="0030468B"/>
    <w:rsid w:val="0030521D"/>
    <w:rsid w:val="0030621E"/>
    <w:rsid w:val="003137B9"/>
    <w:rsid w:val="003146E2"/>
    <w:rsid w:val="00337A8C"/>
    <w:rsid w:val="00341B0E"/>
    <w:rsid w:val="0034469E"/>
    <w:rsid w:val="00345574"/>
    <w:rsid w:val="003463CA"/>
    <w:rsid w:val="003511B1"/>
    <w:rsid w:val="00357116"/>
    <w:rsid w:val="003610F9"/>
    <w:rsid w:val="00372563"/>
    <w:rsid w:val="0037667B"/>
    <w:rsid w:val="003816E2"/>
    <w:rsid w:val="00386E6C"/>
    <w:rsid w:val="003934C4"/>
    <w:rsid w:val="003A3B01"/>
    <w:rsid w:val="003B1172"/>
    <w:rsid w:val="003C4512"/>
    <w:rsid w:val="003C585D"/>
    <w:rsid w:val="003C5EDC"/>
    <w:rsid w:val="003D16A6"/>
    <w:rsid w:val="003D4C42"/>
    <w:rsid w:val="003E5301"/>
    <w:rsid w:val="003E66B3"/>
    <w:rsid w:val="003F1168"/>
    <w:rsid w:val="003F6424"/>
    <w:rsid w:val="00406002"/>
    <w:rsid w:val="00412F84"/>
    <w:rsid w:val="00415592"/>
    <w:rsid w:val="004254D0"/>
    <w:rsid w:val="00430B76"/>
    <w:rsid w:val="0043367E"/>
    <w:rsid w:val="004349B0"/>
    <w:rsid w:val="00436EDA"/>
    <w:rsid w:val="00450267"/>
    <w:rsid w:val="00453F7A"/>
    <w:rsid w:val="00455B4B"/>
    <w:rsid w:val="004615F0"/>
    <w:rsid w:val="0047359A"/>
    <w:rsid w:val="00473636"/>
    <w:rsid w:val="00474ABC"/>
    <w:rsid w:val="004755C5"/>
    <w:rsid w:val="00477D1E"/>
    <w:rsid w:val="0048190C"/>
    <w:rsid w:val="00493CF6"/>
    <w:rsid w:val="004A06EB"/>
    <w:rsid w:val="004A5457"/>
    <w:rsid w:val="004B0278"/>
    <w:rsid w:val="004C6C85"/>
    <w:rsid w:val="004E0BD6"/>
    <w:rsid w:val="004E0E53"/>
    <w:rsid w:val="004E1FCF"/>
    <w:rsid w:val="004E37A5"/>
    <w:rsid w:val="004F5639"/>
    <w:rsid w:val="004F6892"/>
    <w:rsid w:val="004F7EF0"/>
    <w:rsid w:val="005019B9"/>
    <w:rsid w:val="0050349E"/>
    <w:rsid w:val="00510914"/>
    <w:rsid w:val="00531879"/>
    <w:rsid w:val="00531E13"/>
    <w:rsid w:val="00534DBF"/>
    <w:rsid w:val="0053769C"/>
    <w:rsid w:val="00540794"/>
    <w:rsid w:val="00540FE3"/>
    <w:rsid w:val="00544211"/>
    <w:rsid w:val="005461AB"/>
    <w:rsid w:val="00552A1B"/>
    <w:rsid w:val="00554AE0"/>
    <w:rsid w:val="00564060"/>
    <w:rsid w:val="0056410F"/>
    <w:rsid w:val="00567166"/>
    <w:rsid w:val="00570086"/>
    <w:rsid w:val="0057381F"/>
    <w:rsid w:val="00581756"/>
    <w:rsid w:val="00585559"/>
    <w:rsid w:val="005A3872"/>
    <w:rsid w:val="005A4855"/>
    <w:rsid w:val="005B19C9"/>
    <w:rsid w:val="005D1750"/>
    <w:rsid w:val="005D4269"/>
    <w:rsid w:val="005D5322"/>
    <w:rsid w:val="005E3A98"/>
    <w:rsid w:val="005E3C00"/>
    <w:rsid w:val="005E529C"/>
    <w:rsid w:val="005F28C8"/>
    <w:rsid w:val="005F38DE"/>
    <w:rsid w:val="005F6477"/>
    <w:rsid w:val="006006EB"/>
    <w:rsid w:val="00600CAB"/>
    <w:rsid w:val="00602E9D"/>
    <w:rsid w:val="00610F6F"/>
    <w:rsid w:val="0061281B"/>
    <w:rsid w:val="00620E17"/>
    <w:rsid w:val="00622E8E"/>
    <w:rsid w:val="00624440"/>
    <w:rsid w:val="00640879"/>
    <w:rsid w:val="006420DD"/>
    <w:rsid w:val="00642C23"/>
    <w:rsid w:val="00645119"/>
    <w:rsid w:val="00656557"/>
    <w:rsid w:val="00660B0F"/>
    <w:rsid w:val="00670E7A"/>
    <w:rsid w:val="0069331B"/>
    <w:rsid w:val="006A49B8"/>
    <w:rsid w:val="006A7259"/>
    <w:rsid w:val="006B0B45"/>
    <w:rsid w:val="006B0E11"/>
    <w:rsid w:val="006B13DE"/>
    <w:rsid w:val="006B1E27"/>
    <w:rsid w:val="006B4017"/>
    <w:rsid w:val="006B7927"/>
    <w:rsid w:val="006C09B5"/>
    <w:rsid w:val="006C421E"/>
    <w:rsid w:val="006D0005"/>
    <w:rsid w:val="006D1454"/>
    <w:rsid w:val="006D516C"/>
    <w:rsid w:val="006E140A"/>
    <w:rsid w:val="006E318A"/>
    <w:rsid w:val="006E57CB"/>
    <w:rsid w:val="006E5EEE"/>
    <w:rsid w:val="006F20A3"/>
    <w:rsid w:val="006F7F0A"/>
    <w:rsid w:val="0070388E"/>
    <w:rsid w:val="00705E1D"/>
    <w:rsid w:val="00711792"/>
    <w:rsid w:val="00711E1E"/>
    <w:rsid w:val="007136A8"/>
    <w:rsid w:val="00725500"/>
    <w:rsid w:val="007310CD"/>
    <w:rsid w:val="00731134"/>
    <w:rsid w:val="00737525"/>
    <w:rsid w:val="00741155"/>
    <w:rsid w:val="00743BA7"/>
    <w:rsid w:val="00744AFC"/>
    <w:rsid w:val="00750265"/>
    <w:rsid w:val="00756313"/>
    <w:rsid w:val="00760511"/>
    <w:rsid w:val="007625E1"/>
    <w:rsid w:val="00764B11"/>
    <w:rsid w:val="00770C85"/>
    <w:rsid w:val="00780BA0"/>
    <w:rsid w:val="00787295"/>
    <w:rsid w:val="007873FE"/>
    <w:rsid w:val="00792345"/>
    <w:rsid w:val="007A2FE9"/>
    <w:rsid w:val="007A30D6"/>
    <w:rsid w:val="007A5DDB"/>
    <w:rsid w:val="007B3BFF"/>
    <w:rsid w:val="00804E05"/>
    <w:rsid w:val="008125C6"/>
    <w:rsid w:val="008174D3"/>
    <w:rsid w:val="00823B22"/>
    <w:rsid w:val="008318BE"/>
    <w:rsid w:val="00836880"/>
    <w:rsid w:val="00856C3E"/>
    <w:rsid w:val="008626EF"/>
    <w:rsid w:val="008629FD"/>
    <w:rsid w:val="00872E09"/>
    <w:rsid w:val="0087677A"/>
    <w:rsid w:val="00881A32"/>
    <w:rsid w:val="00891F81"/>
    <w:rsid w:val="0089216C"/>
    <w:rsid w:val="00897AC5"/>
    <w:rsid w:val="00897CB2"/>
    <w:rsid w:val="008A67F9"/>
    <w:rsid w:val="008B3F72"/>
    <w:rsid w:val="008B5708"/>
    <w:rsid w:val="008C020A"/>
    <w:rsid w:val="008E0A0B"/>
    <w:rsid w:val="008E31C6"/>
    <w:rsid w:val="008E4F97"/>
    <w:rsid w:val="008E6576"/>
    <w:rsid w:val="008E7C0F"/>
    <w:rsid w:val="008F46D4"/>
    <w:rsid w:val="00901C81"/>
    <w:rsid w:val="009054A5"/>
    <w:rsid w:val="00915B80"/>
    <w:rsid w:val="00916F1E"/>
    <w:rsid w:val="00921B62"/>
    <w:rsid w:val="00921E51"/>
    <w:rsid w:val="00925429"/>
    <w:rsid w:val="00940600"/>
    <w:rsid w:val="00945157"/>
    <w:rsid w:val="00950B5E"/>
    <w:rsid w:val="0096282E"/>
    <w:rsid w:val="0096313E"/>
    <w:rsid w:val="009643C3"/>
    <w:rsid w:val="00967AC2"/>
    <w:rsid w:val="0097714C"/>
    <w:rsid w:val="00977354"/>
    <w:rsid w:val="00981A80"/>
    <w:rsid w:val="009830A2"/>
    <w:rsid w:val="00986D73"/>
    <w:rsid w:val="009871F2"/>
    <w:rsid w:val="00991EDD"/>
    <w:rsid w:val="0099223A"/>
    <w:rsid w:val="009922C4"/>
    <w:rsid w:val="00993237"/>
    <w:rsid w:val="009A20D2"/>
    <w:rsid w:val="009B0E2C"/>
    <w:rsid w:val="009B58DF"/>
    <w:rsid w:val="009C3148"/>
    <w:rsid w:val="009C63D5"/>
    <w:rsid w:val="009D3F80"/>
    <w:rsid w:val="009E11F7"/>
    <w:rsid w:val="009F0376"/>
    <w:rsid w:val="009F601F"/>
    <w:rsid w:val="00A0799D"/>
    <w:rsid w:val="00A079E8"/>
    <w:rsid w:val="00A1741D"/>
    <w:rsid w:val="00A257F5"/>
    <w:rsid w:val="00A25F58"/>
    <w:rsid w:val="00A26349"/>
    <w:rsid w:val="00A30805"/>
    <w:rsid w:val="00A34D91"/>
    <w:rsid w:val="00A4386F"/>
    <w:rsid w:val="00A47B2A"/>
    <w:rsid w:val="00A5528D"/>
    <w:rsid w:val="00A5790D"/>
    <w:rsid w:val="00A662B8"/>
    <w:rsid w:val="00A71056"/>
    <w:rsid w:val="00A71A1A"/>
    <w:rsid w:val="00A7279B"/>
    <w:rsid w:val="00A748F5"/>
    <w:rsid w:val="00A82E5D"/>
    <w:rsid w:val="00A9019D"/>
    <w:rsid w:val="00AA2129"/>
    <w:rsid w:val="00AA26AE"/>
    <w:rsid w:val="00AA26D1"/>
    <w:rsid w:val="00AA5841"/>
    <w:rsid w:val="00AA6051"/>
    <w:rsid w:val="00AA7C3C"/>
    <w:rsid w:val="00AA7D29"/>
    <w:rsid w:val="00AB263C"/>
    <w:rsid w:val="00AB43DC"/>
    <w:rsid w:val="00AB6F41"/>
    <w:rsid w:val="00AB7400"/>
    <w:rsid w:val="00AB7C33"/>
    <w:rsid w:val="00AC0238"/>
    <w:rsid w:val="00AC4A9C"/>
    <w:rsid w:val="00AC6211"/>
    <w:rsid w:val="00AF2E70"/>
    <w:rsid w:val="00AF7446"/>
    <w:rsid w:val="00B003D8"/>
    <w:rsid w:val="00B04D2B"/>
    <w:rsid w:val="00B13816"/>
    <w:rsid w:val="00B14D6E"/>
    <w:rsid w:val="00B17CE6"/>
    <w:rsid w:val="00B22053"/>
    <w:rsid w:val="00B25F4D"/>
    <w:rsid w:val="00B26180"/>
    <w:rsid w:val="00B2718A"/>
    <w:rsid w:val="00B33DAE"/>
    <w:rsid w:val="00B44DE6"/>
    <w:rsid w:val="00B47EE5"/>
    <w:rsid w:val="00B502E1"/>
    <w:rsid w:val="00B5077A"/>
    <w:rsid w:val="00B52767"/>
    <w:rsid w:val="00B55C5C"/>
    <w:rsid w:val="00B64D7B"/>
    <w:rsid w:val="00B669E7"/>
    <w:rsid w:val="00B74C0D"/>
    <w:rsid w:val="00B772C6"/>
    <w:rsid w:val="00B77836"/>
    <w:rsid w:val="00B778CC"/>
    <w:rsid w:val="00B85BC0"/>
    <w:rsid w:val="00B93D09"/>
    <w:rsid w:val="00BB1CF1"/>
    <w:rsid w:val="00BB33F1"/>
    <w:rsid w:val="00BC2FBC"/>
    <w:rsid w:val="00BC5D56"/>
    <w:rsid w:val="00BC77AE"/>
    <w:rsid w:val="00BD13A9"/>
    <w:rsid w:val="00BD1AEE"/>
    <w:rsid w:val="00BD3D78"/>
    <w:rsid w:val="00BD6C20"/>
    <w:rsid w:val="00BE0B5A"/>
    <w:rsid w:val="00BE16EB"/>
    <w:rsid w:val="00BF01AE"/>
    <w:rsid w:val="00BF4BB9"/>
    <w:rsid w:val="00BF632E"/>
    <w:rsid w:val="00C0566B"/>
    <w:rsid w:val="00C065D0"/>
    <w:rsid w:val="00C070CC"/>
    <w:rsid w:val="00C1020A"/>
    <w:rsid w:val="00C11E19"/>
    <w:rsid w:val="00C12D6B"/>
    <w:rsid w:val="00C156AF"/>
    <w:rsid w:val="00C203E2"/>
    <w:rsid w:val="00C25185"/>
    <w:rsid w:val="00C42CBA"/>
    <w:rsid w:val="00C4629C"/>
    <w:rsid w:val="00C61211"/>
    <w:rsid w:val="00C66B86"/>
    <w:rsid w:val="00C70F5B"/>
    <w:rsid w:val="00C747AE"/>
    <w:rsid w:val="00C761E0"/>
    <w:rsid w:val="00C80E1B"/>
    <w:rsid w:val="00C84D2D"/>
    <w:rsid w:val="00C8603E"/>
    <w:rsid w:val="00CA1BFC"/>
    <w:rsid w:val="00CA3928"/>
    <w:rsid w:val="00CB30E6"/>
    <w:rsid w:val="00CB4B52"/>
    <w:rsid w:val="00CC0F9F"/>
    <w:rsid w:val="00CC260C"/>
    <w:rsid w:val="00CC355E"/>
    <w:rsid w:val="00CE23F1"/>
    <w:rsid w:val="00CF0505"/>
    <w:rsid w:val="00CF1755"/>
    <w:rsid w:val="00CF55F9"/>
    <w:rsid w:val="00CF6333"/>
    <w:rsid w:val="00CF74C2"/>
    <w:rsid w:val="00CF7ADB"/>
    <w:rsid w:val="00D0298C"/>
    <w:rsid w:val="00D039D5"/>
    <w:rsid w:val="00D065EC"/>
    <w:rsid w:val="00D07049"/>
    <w:rsid w:val="00D110F4"/>
    <w:rsid w:val="00D11BAE"/>
    <w:rsid w:val="00D15868"/>
    <w:rsid w:val="00D17436"/>
    <w:rsid w:val="00D20260"/>
    <w:rsid w:val="00D20399"/>
    <w:rsid w:val="00D2191B"/>
    <w:rsid w:val="00D3419B"/>
    <w:rsid w:val="00D4418E"/>
    <w:rsid w:val="00D444C5"/>
    <w:rsid w:val="00D46110"/>
    <w:rsid w:val="00D50770"/>
    <w:rsid w:val="00D56C0D"/>
    <w:rsid w:val="00D5718E"/>
    <w:rsid w:val="00D62FB8"/>
    <w:rsid w:val="00D807D8"/>
    <w:rsid w:val="00D8196D"/>
    <w:rsid w:val="00D8476A"/>
    <w:rsid w:val="00D90090"/>
    <w:rsid w:val="00D9200B"/>
    <w:rsid w:val="00D96338"/>
    <w:rsid w:val="00DB5920"/>
    <w:rsid w:val="00DC03E7"/>
    <w:rsid w:val="00DC07B4"/>
    <w:rsid w:val="00DC2CA4"/>
    <w:rsid w:val="00DC42BD"/>
    <w:rsid w:val="00DC4F1D"/>
    <w:rsid w:val="00DC536A"/>
    <w:rsid w:val="00DD01DA"/>
    <w:rsid w:val="00DD1843"/>
    <w:rsid w:val="00DD41E7"/>
    <w:rsid w:val="00DD5179"/>
    <w:rsid w:val="00DE1ED6"/>
    <w:rsid w:val="00DE7CED"/>
    <w:rsid w:val="00DF47D4"/>
    <w:rsid w:val="00DF6AEA"/>
    <w:rsid w:val="00E001EB"/>
    <w:rsid w:val="00E034D8"/>
    <w:rsid w:val="00E048A3"/>
    <w:rsid w:val="00E11D2B"/>
    <w:rsid w:val="00E2082B"/>
    <w:rsid w:val="00E20E1F"/>
    <w:rsid w:val="00E249D1"/>
    <w:rsid w:val="00E33EAE"/>
    <w:rsid w:val="00E363E5"/>
    <w:rsid w:val="00E56616"/>
    <w:rsid w:val="00E56C6C"/>
    <w:rsid w:val="00E60859"/>
    <w:rsid w:val="00E63E56"/>
    <w:rsid w:val="00E70FAA"/>
    <w:rsid w:val="00E715D0"/>
    <w:rsid w:val="00E82D4A"/>
    <w:rsid w:val="00E96270"/>
    <w:rsid w:val="00EA1A81"/>
    <w:rsid w:val="00EA7B91"/>
    <w:rsid w:val="00EB3051"/>
    <w:rsid w:val="00EC1B69"/>
    <w:rsid w:val="00EC6F0E"/>
    <w:rsid w:val="00EC7681"/>
    <w:rsid w:val="00ED1174"/>
    <w:rsid w:val="00ED7C72"/>
    <w:rsid w:val="00EE2857"/>
    <w:rsid w:val="00EF5385"/>
    <w:rsid w:val="00F0364E"/>
    <w:rsid w:val="00F06297"/>
    <w:rsid w:val="00F0706A"/>
    <w:rsid w:val="00F07A02"/>
    <w:rsid w:val="00F150BB"/>
    <w:rsid w:val="00F20F30"/>
    <w:rsid w:val="00F42393"/>
    <w:rsid w:val="00F4274C"/>
    <w:rsid w:val="00F43954"/>
    <w:rsid w:val="00F5035E"/>
    <w:rsid w:val="00F506A5"/>
    <w:rsid w:val="00F511FF"/>
    <w:rsid w:val="00F66140"/>
    <w:rsid w:val="00F71EC3"/>
    <w:rsid w:val="00F81644"/>
    <w:rsid w:val="00F90233"/>
    <w:rsid w:val="00F92BF1"/>
    <w:rsid w:val="00F95EF4"/>
    <w:rsid w:val="00FA11D3"/>
    <w:rsid w:val="00FA592C"/>
    <w:rsid w:val="00FB2882"/>
    <w:rsid w:val="00FB37D1"/>
    <w:rsid w:val="00FC056E"/>
    <w:rsid w:val="00FC1590"/>
    <w:rsid w:val="00FC672D"/>
    <w:rsid w:val="00FD5174"/>
    <w:rsid w:val="00FD5C00"/>
    <w:rsid w:val="00FD6928"/>
    <w:rsid w:val="00FF66E1"/>
    <w:rsid w:val="00FF7B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6ED03D2"/>
  <w14:defaultImageDpi w14:val="96"/>
  <w15:docId w15:val="{8EB3B76F-FC65-4192-9B60-1BA55CE37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imes New Roman" w:hAnsi="Century Gothic" w:cs="Century Gothic"/>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00AD8"/>
    <w:pPr>
      <w:spacing w:line="360" w:lineRule="auto"/>
      <w:jc w:val="both"/>
    </w:pPr>
    <w:rPr>
      <w:rFonts w:cs="Times New Roman"/>
    </w:rPr>
  </w:style>
  <w:style w:type="paragraph" w:styleId="berschrift1">
    <w:name w:val="heading 1"/>
    <w:basedOn w:val="Standard"/>
    <w:next w:val="Standard"/>
    <w:link w:val="berschrift1Zchn"/>
    <w:uiPriority w:val="9"/>
    <w:rsid w:val="00300AD8"/>
    <w:pPr>
      <w:keepNext/>
      <w:keepLines/>
      <w:spacing w:before="240" w:after="120"/>
      <w:jc w:val="center"/>
      <w:outlineLvl w:val="0"/>
    </w:pPr>
    <w:rPr>
      <w:rFonts w:eastAsiaTheme="majorEastAsia"/>
      <w:b/>
      <w:bCs/>
      <w:szCs w:val="28"/>
    </w:rPr>
  </w:style>
  <w:style w:type="paragraph" w:styleId="berschrift2">
    <w:name w:val="heading 2"/>
    <w:basedOn w:val="Standard"/>
    <w:next w:val="Standard"/>
    <w:link w:val="berschrift2Zchn"/>
    <w:uiPriority w:val="9"/>
    <w:unhideWhenUsed/>
    <w:qFormat/>
    <w:rsid w:val="00300AD8"/>
    <w:pPr>
      <w:keepNext/>
      <w:keepLines/>
      <w:numPr>
        <w:numId w:val="4"/>
      </w:numPr>
      <w:spacing w:before="480" w:after="120"/>
      <w:outlineLvl w:val="1"/>
    </w:pPr>
    <w:rPr>
      <w:rFonts w:eastAsiaTheme="majorEastAsia"/>
      <w:b/>
      <w:bCs/>
      <w:szCs w:val="26"/>
    </w:rPr>
  </w:style>
  <w:style w:type="paragraph" w:styleId="berschrift3">
    <w:name w:val="heading 3"/>
    <w:basedOn w:val="Standard"/>
    <w:next w:val="Standard"/>
    <w:link w:val="berschrift3Zchn"/>
    <w:uiPriority w:val="9"/>
    <w:unhideWhenUsed/>
    <w:qFormat/>
    <w:rsid w:val="00300AD8"/>
    <w:pPr>
      <w:keepNext/>
      <w:keepLines/>
      <w:numPr>
        <w:numId w:val="5"/>
      </w:numPr>
      <w:spacing w:before="480" w:after="120"/>
      <w:outlineLvl w:val="2"/>
    </w:pPr>
    <w:rPr>
      <w:rFonts w:eastAsiaTheme="majorEastAsia"/>
      <w:b/>
      <w:szCs w:val="24"/>
    </w:rPr>
  </w:style>
  <w:style w:type="paragraph" w:styleId="berschrift4">
    <w:name w:val="heading 4"/>
    <w:basedOn w:val="Standard"/>
    <w:next w:val="Standard"/>
    <w:link w:val="berschrift4Zchn"/>
    <w:uiPriority w:val="9"/>
    <w:unhideWhenUsed/>
    <w:qFormat/>
    <w:rsid w:val="00300AD8"/>
    <w:pPr>
      <w:keepNext/>
      <w:keepLines/>
      <w:numPr>
        <w:numId w:val="6"/>
      </w:numPr>
      <w:spacing w:before="480" w:after="120"/>
      <w:outlineLvl w:val="3"/>
    </w:pPr>
    <w:rPr>
      <w:rFonts w:eastAsiaTheme="majorEastAsia"/>
      <w:b/>
      <w:iCs/>
      <w:szCs w:val="22"/>
    </w:rPr>
  </w:style>
  <w:style w:type="paragraph" w:styleId="berschrift5">
    <w:name w:val="heading 5"/>
    <w:basedOn w:val="Standard"/>
    <w:next w:val="Standard"/>
    <w:link w:val="berschrift5Zchn"/>
    <w:uiPriority w:val="10"/>
    <w:unhideWhenUsed/>
    <w:qFormat/>
    <w:rsid w:val="00300AD8"/>
    <w:pPr>
      <w:keepNext/>
      <w:keepLines/>
      <w:numPr>
        <w:numId w:val="7"/>
      </w:numPr>
      <w:spacing w:before="240" w:after="120"/>
      <w:outlineLvl w:val="4"/>
    </w:pPr>
    <w:rPr>
      <w:rFonts w:eastAsiaTheme="majorEastAsia"/>
      <w:szCs w:val="22"/>
    </w:rPr>
  </w:style>
  <w:style w:type="paragraph" w:styleId="berschrift6">
    <w:name w:val="heading 6"/>
    <w:basedOn w:val="Standard"/>
    <w:next w:val="Standard"/>
    <w:link w:val="berschrift6Zchn"/>
    <w:uiPriority w:val="9"/>
    <w:unhideWhenUsed/>
    <w:qFormat/>
    <w:rsid w:val="00300AD8"/>
    <w:pPr>
      <w:keepNext/>
      <w:keepLines/>
      <w:numPr>
        <w:numId w:val="8"/>
      </w:numPr>
      <w:spacing w:before="480" w:after="120"/>
      <w:outlineLvl w:val="5"/>
    </w:pPr>
    <w:rPr>
      <w:rFonts w:eastAsiaTheme="majorEastAsia"/>
      <w:b/>
    </w:rPr>
  </w:style>
  <w:style w:type="paragraph" w:styleId="berschrift7">
    <w:name w:val="heading 7"/>
    <w:basedOn w:val="Standard"/>
    <w:next w:val="Standard"/>
    <w:link w:val="berschrift7Zchn"/>
    <w:uiPriority w:val="9"/>
    <w:unhideWhenUsed/>
    <w:qFormat/>
    <w:rsid w:val="00300AD8"/>
    <w:pPr>
      <w:keepNext/>
      <w:keepLines/>
      <w:numPr>
        <w:numId w:val="9"/>
      </w:numPr>
      <w:spacing w:before="480" w:after="120"/>
      <w:outlineLvl w:val="6"/>
    </w:pPr>
    <w:rPr>
      <w:rFonts w:eastAsiaTheme="majorEastAsia"/>
      <w:b/>
      <w:iCs/>
    </w:rPr>
  </w:style>
  <w:style w:type="paragraph" w:styleId="berschrift8">
    <w:name w:val="heading 8"/>
    <w:basedOn w:val="Standard"/>
    <w:next w:val="Standard"/>
    <w:link w:val="berschrift8Zchn"/>
    <w:uiPriority w:val="9"/>
    <w:unhideWhenUsed/>
    <w:qFormat/>
    <w:rsid w:val="00300AD8"/>
    <w:pPr>
      <w:keepNext/>
      <w:keepLines/>
      <w:numPr>
        <w:numId w:val="10"/>
      </w:numPr>
      <w:spacing w:before="360" w:after="120"/>
      <w:outlineLvl w:val="7"/>
    </w:pPr>
    <w:rPr>
      <w:rFonts w:eastAsiaTheme="majorEastAsia"/>
      <w:b/>
      <w:szCs w:val="21"/>
    </w:rPr>
  </w:style>
  <w:style w:type="paragraph" w:styleId="berschrift9">
    <w:name w:val="heading 9"/>
    <w:basedOn w:val="Standard"/>
    <w:next w:val="Standard"/>
    <w:link w:val="berschrift9Zchn"/>
    <w:uiPriority w:val="9"/>
    <w:unhideWhenUsed/>
    <w:qFormat/>
    <w:rsid w:val="00300AD8"/>
    <w:pPr>
      <w:keepNext/>
      <w:keepLines/>
      <w:numPr>
        <w:numId w:val="11"/>
      </w:numPr>
      <w:spacing w:before="360" w:after="120"/>
      <w:outlineLvl w:val="8"/>
    </w:pPr>
    <w:rPr>
      <w:rFonts w:eastAsiaTheme="majorEastAsia"/>
      <w:b/>
      <w:iCs/>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300AD8"/>
    <w:rPr>
      <w:rFonts w:eastAsiaTheme="majorEastAsia" w:cs="Times New Roman"/>
      <w:b/>
      <w:bCs/>
      <w:sz w:val="28"/>
      <w:szCs w:val="28"/>
    </w:rPr>
  </w:style>
  <w:style w:type="character" w:customStyle="1" w:styleId="berschrift2Zchn">
    <w:name w:val="Überschrift 2 Zchn"/>
    <w:basedOn w:val="Absatz-Standardschriftart"/>
    <w:link w:val="berschrift2"/>
    <w:uiPriority w:val="9"/>
    <w:locked/>
    <w:rsid w:val="00300AD8"/>
    <w:rPr>
      <w:rFonts w:eastAsiaTheme="majorEastAsia" w:cs="Times New Roman"/>
      <w:b/>
      <w:bCs/>
      <w:sz w:val="26"/>
      <w:szCs w:val="26"/>
    </w:rPr>
  </w:style>
  <w:style w:type="character" w:customStyle="1" w:styleId="berschrift3Zchn">
    <w:name w:val="Überschrift 3 Zchn"/>
    <w:basedOn w:val="Absatz-Standardschriftart"/>
    <w:link w:val="berschrift3"/>
    <w:uiPriority w:val="9"/>
    <w:rsid w:val="00300AD8"/>
    <w:rPr>
      <w:rFonts w:eastAsiaTheme="majorEastAsia" w:cs="Times New Roman"/>
      <w:b/>
      <w:sz w:val="24"/>
      <w:szCs w:val="24"/>
    </w:rPr>
  </w:style>
  <w:style w:type="character" w:customStyle="1" w:styleId="berschrift4Zchn">
    <w:name w:val="Überschrift 4 Zchn"/>
    <w:basedOn w:val="Absatz-Standardschriftart"/>
    <w:link w:val="berschrift4"/>
    <w:uiPriority w:val="9"/>
    <w:rsid w:val="00300AD8"/>
    <w:rPr>
      <w:rFonts w:eastAsiaTheme="majorEastAsia" w:cs="Times New Roman"/>
      <w:b/>
      <w:iCs/>
      <w:sz w:val="22"/>
      <w:szCs w:val="22"/>
    </w:rPr>
  </w:style>
  <w:style w:type="character" w:customStyle="1" w:styleId="berschrift5Zchn">
    <w:name w:val="Überschrift 5 Zchn"/>
    <w:basedOn w:val="Absatz-Standardschriftart"/>
    <w:link w:val="berschrift5"/>
    <w:uiPriority w:val="10"/>
    <w:rsid w:val="00300AD8"/>
    <w:rPr>
      <w:rFonts w:eastAsiaTheme="majorEastAsia" w:cs="Times New Roman"/>
      <w:sz w:val="22"/>
      <w:szCs w:val="22"/>
    </w:rPr>
  </w:style>
  <w:style w:type="character" w:customStyle="1" w:styleId="berschrift6Zchn">
    <w:name w:val="Überschrift 6 Zchn"/>
    <w:basedOn w:val="Absatz-Standardschriftart"/>
    <w:link w:val="berschrift6"/>
    <w:uiPriority w:val="9"/>
    <w:rsid w:val="00300AD8"/>
    <w:rPr>
      <w:rFonts w:eastAsiaTheme="majorEastAsia" w:cs="Times New Roman"/>
      <w:b/>
    </w:rPr>
  </w:style>
  <w:style w:type="character" w:customStyle="1" w:styleId="berschrift7Zchn">
    <w:name w:val="Überschrift 7 Zchn"/>
    <w:basedOn w:val="Absatz-Standardschriftart"/>
    <w:link w:val="berschrift7"/>
    <w:uiPriority w:val="9"/>
    <w:rsid w:val="00300AD8"/>
    <w:rPr>
      <w:rFonts w:eastAsiaTheme="majorEastAsia" w:cs="Times New Roman"/>
      <w:b/>
      <w:iCs/>
    </w:rPr>
  </w:style>
  <w:style w:type="character" w:customStyle="1" w:styleId="berschrift8Zchn">
    <w:name w:val="Überschrift 8 Zchn"/>
    <w:basedOn w:val="Absatz-Standardschriftart"/>
    <w:link w:val="berschrift8"/>
    <w:uiPriority w:val="9"/>
    <w:rsid w:val="00300AD8"/>
    <w:rPr>
      <w:rFonts w:eastAsiaTheme="majorEastAsia" w:cs="Times New Roman"/>
      <w:b/>
      <w:sz w:val="21"/>
      <w:szCs w:val="21"/>
    </w:rPr>
  </w:style>
  <w:style w:type="character" w:customStyle="1" w:styleId="berschrift9Zchn">
    <w:name w:val="Überschrift 9 Zchn"/>
    <w:basedOn w:val="Absatz-Standardschriftart"/>
    <w:link w:val="berschrift9"/>
    <w:uiPriority w:val="9"/>
    <w:rsid w:val="00300AD8"/>
    <w:rPr>
      <w:rFonts w:eastAsiaTheme="majorEastAsia" w:cs="Times New Roman"/>
      <w:b/>
      <w:iCs/>
      <w:sz w:val="21"/>
      <w:szCs w:val="21"/>
    </w:rPr>
  </w:style>
  <w:style w:type="paragraph" w:styleId="Kopfzeile">
    <w:name w:val="header"/>
    <w:basedOn w:val="Standard"/>
    <w:link w:val="KopfzeileZchn"/>
    <w:uiPriority w:val="99"/>
    <w:unhideWhenUsed/>
    <w:rsid w:val="00DC07B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DC07B4"/>
    <w:rPr>
      <w:rFonts w:ascii="Open Sans" w:hAnsi="Open Sans" w:cs="Times New Roman"/>
      <w:sz w:val="19"/>
    </w:rPr>
  </w:style>
  <w:style w:type="paragraph" w:styleId="Fuzeile">
    <w:name w:val="footer"/>
    <w:basedOn w:val="Standard"/>
    <w:link w:val="FuzeileZchn"/>
    <w:uiPriority w:val="99"/>
    <w:unhideWhenUsed/>
    <w:rsid w:val="00DC07B4"/>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DC07B4"/>
    <w:rPr>
      <w:rFonts w:ascii="Open Sans" w:hAnsi="Open Sans" w:cs="Times New Roman"/>
      <w:sz w:val="19"/>
    </w:rPr>
  </w:style>
  <w:style w:type="paragraph" w:styleId="Sprechblasentext">
    <w:name w:val="Balloon Text"/>
    <w:basedOn w:val="Standard"/>
    <w:link w:val="SprechblasentextZchn"/>
    <w:uiPriority w:val="99"/>
    <w:semiHidden/>
    <w:unhideWhenUsed/>
    <w:rsid w:val="00DC07B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DC07B4"/>
    <w:rPr>
      <w:rFonts w:ascii="Tahoma" w:hAnsi="Tahoma" w:cs="Tahoma"/>
      <w:sz w:val="16"/>
      <w:szCs w:val="16"/>
    </w:rPr>
  </w:style>
  <w:style w:type="character" w:styleId="Hyperlink">
    <w:name w:val="Hyperlink"/>
    <w:basedOn w:val="Absatz-Standardschriftart"/>
    <w:uiPriority w:val="99"/>
    <w:unhideWhenUsed/>
    <w:rsid w:val="00300AD8"/>
    <w:rPr>
      <w:rFonts w:cs="Times New Roman"/>
      <w:color w:val="0000FF" w:themeColor="hyperlink"/>
      <w:u w:val="single"/>
    </w:rPr>
  </w:style>
  <w:style w:type="paragraph" w:styleId="KeinLeerraum">
    <w:name w:val="No Spacing"/>
    <w:uiPriority w:val="1"/>
    <w:qFormat/>
    <w:rsid w:val="00D50770"/>
    <w:pPr>
      <w:spacing w:after="0" w:line="240" w:lineRule="auto"/>
    </w:pPr>
    <w:rPr>
      <w:rFonts w:cs="Times New Roman"/>
    </w:rPr>
  </w:style>
  <w:style w:type="character" w:styleId="Kommentarzeichen">
    <w:name w:val="annotation reference"/>
    <w:basedOn w:val="Absatz-Standardschriftart"/>
    <w:uiPriority w:val="99"/>
    <w:rsid w:val="00872E09"/>
    <w:rPr>
      <w:rFonts w:cs="Times New Roman"/>
      <w:sz w:val="16"/>
      <w:szCs w:val="16"/>
    </w:rPr>
  </w:style>
  <w:style w:type="paragraph" w:styleId="Kommentartext">
    <w:name w:val="annotation text"/>
    <w:basedOn w:val="Standard"/>
    <w:link w:val="KommentartextZchn"/>
    <w:uiPriority w:val="99"/>
    <w:rsid w:val="00872E09"/>
    <w:pPr>
      <w:spacing w:line="240" w:lineRule="auto"/>
    </w:pPr>
  </w:style>
  <w:style w:type="character" w:customStyle="1" w:styleId="KommentartextZchn">
    <w:name w:val="Kommentartext Zchn"/>
    <w:basedOn w:val="Absatz-Standardschriftart"/>
    <w:link w:val="Kommentartext"/>
    <w:uiPriority w:val="99"/>
    <w:rsid w:val="00872E09"/>
    <w:rPr>
      <w:rFonts w:cs="Times New Roman"/>
    </w:rPr>
  </w:style>
  <w:style w:type="paragraph" w:styleId="Kommentarthema">
    <w:name w:val="annotation subject"/>
    <w:basedOn w:val="Kommentartext"/>
    <w:next w:val="Kommentartext"/>
    <w:link w:val="KommentarthemaZchn"/>
    <w:uiPriority w:val="99"/>
    <w:rsid w:val="00872E09"/>
    <w:rPr>
      <w:b/>
      <w:bCs/>
    </w:rPr>
  </w:style>
  <w:style w:type="character" w:customStyle="1" w:styleId="KommentarthemaZchn">
    <w:name w:val="Kommentarthema Zchn"/>
    <w:basedOn w:val="KommentartextZchn"/>
    <w:link w:val="Kommentarthema"/>
    <w:uiPriority w:val="99"/>
    <w:rsid w:val="00872E09"/>
    <w:rPr>
      <w:rFonts w:cs="Times New Roman"/>
      <w:b/>
      <w:bCs/>
    </w:rPr>
  </w:style>
  <w:style w:type="paragraph" w:styleId="Listenabsatz">
    <w:name w:val="List Paragraph"/>
    <w:basedOn w:val="Standard"/>
    <w:uiPriority w:val="34"/>
    <w:qFormat/>
    <w:rsid w:val="00300AD8"/>
    <w:pPr>
      <w:ind w:left="720"/>
      <w:contextualSpacing/>
    </w:pPr>
  </w:style>
  <w:style w:type="paragraph" w:customStyle="1" w:styleId="Formatvorlage1">
    <w:name w:val="Formatvorlage1"/>
    <w:basedOn w:val="Listenabsatz"/>
    <w:uiPriority w:val="11"/>
    <w:qFormat/>
    <w:rsid w:val="00300AD8"/>
    <w:pPr>
      <w:numPr>
        <w:numId w:val="2"/>
      </w:numPr>
      <w:spacing w:before="120" w:after="160"/>
    </w:pPr>
    <w:rPr>
      <w:b/>
    </w:rPr>
  </w:style>
  <w:style w:type="paragraph" w:styleId="Titel">
    <w:name w:val="Title"/>
    <w:aliases w:val="Überschrift"/>
    <w:basedOn w:val="berschrift1"/>
    <w:next w:val="Standard"/>
    <w:link w:val="TitelZchn"/>
    <w:uiPriority w:val="10"/>
    <w:qFormat/>
    <w:rsid w:val="00300AD8"/>
    <w:pPr>
      <w:numPr>
        <w:numId w:val="3"/>
      </w:numPr>
      <w:spacing w:before="360" w:line="240" w:lineRule="auto"/>
      <w:contextualSpacing/>
      <w:jc w:val="left"/>
      <w:outlineLvl w:val="8"/>
    </w:pPr>
    <w:rPr>
      <w:spacing w:val="-10"/>
      <w:kern w:val="28"/>
      <w:szCs w:val="56"/>
    </w:rPr>
  </w:style>
  <w:style w:type="character" w:customStyle="1" w:styleId="TitelZchn">
    <w:name w:val="Titel Zchn"/>
    <w:aliases w:val="Überschrift Zchn"/>
    <w:basedOn w:val="Absatz-Standardschriftart"/>
    <w:link w:val="Titel"/>
    <w:uiPriority w:val="10"/>
    <w:rsid w:val="00300AD8"/>
    <w:rPr>
      <w:rFonts w:eastAsiaTheme="majorEastAsia" w:cs="Times New Roman"/>
      <w:b/>
      <w:bCs/>
      <w:spacing w:val="-10"/>
      <w:kern w:val="28"/>
      <w:sz w:val="56"/>
      <w:szCs w:val="56"/>
    </w:rPr>
  </w:style>
  <w:style w:type="paragraph" w:styleId="Untertitel">
    <w:name w:val="Subtitle"/>
    <w:basedOn w:val="Standard"/>
    <w:next w:val="Standard"/>
    <w:link w:val="UntertitelZchn"/>
    <w:uiPriority w:val="11"/>
    <w:qFormat/>
    <w:rsid w:val="00300AD8"/>
    <w:pPr>
      <w:numPr>
        <w:numId w:val="12"/>
      </w:numPr>
      <w:spacing w:after="160"/>
    </w:pPr>
    <w:rPr>
      <w:rFonts w:asciiTheme="minorHAnsi" w:eastAsiaTheme="minorEastAsia" w:hAnsiTheme="minorHAnsi"/>
      <w:spacing w:val="15"/>
      <w:sz w:val="22"/>
      <w:szCs w:val="22"/>
    </w:rPr>
  </w:style>
  <w:style w:type="character" w:customStyle="1" w:styleId="UntertitelZchn">
    <w:name w:val="Untertitel Zchn"/>
    <w:basedOn w:val="Absatz-Standardschriftart"/>
    <w:link w:val="Untertitel"/>
    <w:uiPriority w:val="11"/>
    <w:rsid w:val="00300AD8"/>
    <w:rPr>
      <w:rFonts w:asciiTheme="minorHAnsi" w:eastAsiaTheme="minorEastAsia" w:hAnsiTheme="minorHAnsi" w:cs="Times New Roman"/>
      <w:spacing w:val="15"/>
      <w:sz w:val="22"/>
      <w:szCs w:val="22"/>
    </w:rPr>
  </w:style>
  <w:style w:type="paragraph" w:styleId="Verzeichnis1">
    <w:name w:val="toc 1"/>
    <w:basedOn w:val="Standard"/>
    <w:next w:val="Standard"/>
    <w:autoRedefine/>
    <w:uiPriority w:val="39"/>
    <w:unhideWhenUsed/>
    <w:rsid w:val="00300AD8"/>
    <w:pPr>
      <w:tabs>
        <w:tab w:val="right" w:leader="dot" w:pos="9062"/>
      </w:tabs>
      <w:spacing w:after="100"/>
    </w:pPr>
  </w:style>
  <w:style w:type="paragraph" w:styleId="Verzeichnis2">
    <w:name w:val="toc 2"/>
    <w:basedOn w:val="Standard"/>
    <w:next w:val="Standard"/>
    <w:autoRedefine/>
    <w:uiPriority w:val="39"/>
    <w:unhideWhenUsed/>
    <w:rsid w:val="00300AD8"/>
    <w:pPr>
      <w:spacing w:after="100"/>
      <w:ind w:left="200"/>
    </w:pPr>
  </w:style>
  <w:style w:type="paragraph" w:styleId="Verzeichnis3">
    <w:name w:val="toc 3"/>
    <w:basedOn w:val="Standard"/>
    <w:next w:val="Standard"/>
    <w:autoRedefine/>
    <w:uiPriority w:val="39"/>
    <w:unhideWhenUsed/>
    <w:rsid w:val="00300AD8"/>
    <w:pPr>
      <w:spacing w:after="100"/>
      <w:ind w:left="400"/>
    </w:pPr>
  </w:style>
  <w:style w:type="paragraph" w:styleId="Verzeichnis4">
    <w:name w:val="toc 4"/>
    <w:basedOn w:val="Standard"/>
    <w:next w:val="Standard"/>
    <w:autoRedefine/>
    <w:uiPriority w:val="39"/>
    <w:unhideWhenUsed/>
    <w:rsid w:val="00300AD8"/>
    <w:pPr>
      <w:spacing w:after="100"/>
      <w:ind w:left="600"/>
    </w:pPr>
  </w:style>
  <w:style w:type="paragraph" w:styleId="Verzeichnis6">
    <w:name w:val="toc 6"/>
    <w:basedOn w:val="Standard"/>
    <w:next w:val="Standard"/>
    <w:autoRedefine/>
    <w:uiPriority w:val="39"/>
    <w:unhideWhenUsed/>
    <w:rsid w:val="00300AD8"/>
    <w:pPr>
      <w:spacing w:after="100"/>
      <w:ind w:left="1000"/>
    </w:pPr>
  </w:style>
  <w:style w:type="paragraph" w:styleId="Verzeichnis7">
    <w:name w:val="toc 7"/>
    <w:basedOn w:val="Standard"/>
    <w:next w:val="Standard"/>
    <w:autoRedefine/>
    <w:uiPriority w:val="39"/>
    <w:unhideWhenUsed/>
    <w:rsid w:val="00300AD8"/>
    <w:pPr>
      <w:spacing w:after="100"/>
      <w:ind w:left="1200"/>
    </w:pPr>
  </w:style>
  <w:style w:type="paragraph" w:styleId="Verzeichnis8">
    <w:name w:val="toc 8"/>
    <w:basedOn w:val="Standard"/>
    <w:next w:val="Standard"/>
    <w:autoRedefine/>
    <w:uiPriority w:val="39"/>
    <w:unhideWhenUsed/>
    <w:rsid w:val="00300AD8"/>
    <w:pPr>
      <w:spacing w:after="100"/>
      <w:ind w:left="1400"/>
    </w:pPr>
  </w:style>
  <w:style w:type="paragraph" w:styleId="Verzeichnis9">
    <w:name w:val="toc 9"/>
    <w:basedOn w:val="Standard"/>
    <w:next w:val="Standard"/>
    <w:autoRedefine/>
    <w:uiPriority w:val="39"/>
    <w:unhideWhenUsed/>
    <w:rsid w:val="00300AD8"/>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yperlink" Target="https://hudoc.echr.coe.int/e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CP@PARTSCH-LAW.COM" TargetMode="External"/><Relationship Id="rId1" Type="http://schemas.openxmlformats.org/officeDocument/2006/relationships/hyperlink" Target="mailto:CP@PARTSCH-LAW.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4A6F6-FD95-4971-93CE-395727C4D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9357</Words>
  <Characters>58955</Characters>
  <Application>Microsoft Office Word</Application>
  <DocSecurity>0</DocSecurity>
  <Lines>491</Lines>
  <Paragraphs>136</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68176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Beerwerth</dc:creator>
  <cp:keywords/>
  <dc:description/>
  <cp:lastModifiedBy>Florian Rötzer</cp:lastModifiedBy>
  <cp:revision>2</cp:revision>
  <cp:lastPrinted>2022-01-28T14:04:00Z</cp:lastPrinted>
  <dcterms:created xsi:type="dcterms:W3CDTF">2026-08-05T07:23:00Z</dcterms:created>
  <dcterms:modified xsi:type="dcterms:W3CDTF">2026-08-05T07:23:00Z</dcterms:modified>
</cp:coreProperties>
</file>